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4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</w:r>
    </w:p>
    <w:p>
      <w:pPr>
        <w:pStyle w:val="99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</w:t>
      </w:r>
      <w:r>
        <w:rPr>
          <w:rFonts w:ascii="Tinos" w:hAnsi="Tinos" w:cs="Tinos"/>
          <w:sz w:val="22"/>
          <w:szCs w:val="22"/>
        </w:rPr>
      </w:r>
    </w:p>
    <w:p>
      <w:pPr>
        <w:pStyle w:val="994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г. Кызыл                      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  <w:t xml:space="preserve">                                       «___»__________20__ г.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</w:rPr>
        <w:t xml:space="preserve">«Покупатель», </w:t>
      </w:r>
      <w:r>
        <w:rPr>
          <w:rFonts w:ascii="Tinos" w:hAnsi="Tinos" w:eastAsia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</w:rPr>
        <w:t xml:space="preserve">№ 00/152 от 22.04.2025 г.</w:t>
      </w:r>
      <w:r>
        <w:rPr>
          <w:rFonts w:ascii="Tinos" w:hAnsi="Tinos" w:eastAsia="Tinos" w:cs="Tinos"/>
        </w:rPr>
        <w:t xml:space="preserve"> с одной стороны; и , _______, именуемое в дальнейшем </w:t>
      </w:r>
      <w:r>
        <w:rPr>
          <w:rFonts w:ascii="Tinos" w:hAnsi="Tinos" w:eastAsia="Tinos" w:cs="Tinos"/>
          <w:b/>
          <w:bCs/>
        </w:rPr>
        <w:t xml:space="preserve">«Поставщик»</w:t>
      </w:r>
      <w:r>
        <w:rPr>
          <w:rFonts w:ascii="Tinos" w:hAnsi="Tinos" w:eastAsia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Предмет Договора</w:t>
      </w:r>
      <w:r>
        <w:rPr>
          <w:rFonts w:ascii="Tinos" w:hAnsi="Tinos" w:cs="Tinos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</w:rPr>
        <w:t xml:space="preserve">к</w:t>
      </w:r>
      <w:r>
        <w:rPr>
          <w:rFonts w:ascii="Tinos" w:hAnsi="Tinos" w:eastAsia="Tinos" w:cs="Tinos"/>
        </w:rPr>
        <w:t xml:space="preserve">омплектных   трансформаторных   подстанций(КТП) с силовым трансформатором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  <w:b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Характеристики и требования к поставляемой Продукции  представлены в Приложении № 4 к настоящему Договору и являются его неотъемлемой частью.</w:t>
      </w:r>
      <w:r>
        <w:rPr>
          <w:rFonts w:ascii="Tinos" w:hAnsi="Tinos" w:cs="Tinos"/>
        </w:rPr>
      </w:r>
    </w:p>
    <w:p>
      <w:pPr>
        <w:pStyle w:val="997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hAnsi="Tinos" w:eastAsia="Tinos" w:cs="Tinos"/>
          <w:sz w:val="22"/>
          <w:szCs w:val="22"/>
        </w:rPr>
        <w:t xml:space="preserve"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Цена и порядок расчётов</w:t>
      </w:r>
      <w:r>
        <w:rPr>
          <w:rFonts w:ascii="Tinos" w:hAnsi="Tinos" w:cs="Tinos"/>
          <w:b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</w:t>
      </w:r>
      <w:r>
        <w:rPr>
          <w:rFonts w:ascii="Tinos" w:hAnsi="Tinos" w:eastAsia="Tinos" w:cs="Tinos"/>
          <w:sz w:val="22"/>
          <w:szCs w:val="22"/>
        </w:rPr>
        <w:t xml:space="preserve">е со стоимостью тары, упаковки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пошлинами, расходами</w:t>
      </w:r>
      <w:r>
        <w:rPr>
          <w:rFonts w:ascii="Tinos" w:hAnsi="Tinos" w:eastAsia="Tinos" w:cs="Tinos"/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</w:t>
      </w:r>
      <w:r>
        <w:rPr>
          <w:rFonts w:ascii="Tinos" w:hAnsi="Tinos" w:eastAsia="Tinos" w:cs="Tinos"/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>
        <w:rPr>
          <w:rFonts w:ascii="Tinos" w:hAnsi="Tinos" w:eastAsia="Tinos" w:cs="Tinos"/>
          <w:sz w:val="22"/>
          <w:szCs w:val="22"/>
        </w:rPr>
        <w:t xml:space="preserve">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</w:t>
      </w:r>
      <w:r>
        <w:rPr>
          <w:rFonts w:ascii="Tinos" w:hAnsi="Tinos" w:eastAsia="Tinos" w:cs="Tinos"/>
          <w:sz w:val="22"/>
          <w:szCs w:val="22"/>
        </w:rPr>
        <w:t xml:space="preserve">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</w:t>
      </w:r>
      <w:r>
        <w:rPr>
          <w:rFonts w:ascii="Tinos" w:hAnsi="Tinos" w:eastAsia="Tinos" w:cs="Tinos"/>
          <w:sz w:val="22"/>
          <w:szCs w:val="22"/>
        </w:rPr>
        <w:t xml:space="preserve">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10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3.  Сроки и порядок поставки</w:t>
      </w:r>
      <w:r>
        <w:rPr>
          <w:rFonts w:ascii="Tinos" w:hAnsi="Tinos" w:cs="Tinos"/>
          <w:b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Срок поставки: в течение 45 (сорока пяти) календарных дней с даты заключения настоящего Договора поставки.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Место (объект) поставки: </w:t>
      </w:r>
      <w:r>
        <w:rPr>
          <w:rFonts w:ascii="Tinos" w:hAnsi="Tinos" w:eastAsia="Tinos" w:cs="Tinos"/>
        </w:rPr>
        <w:t xml:space="preserve">667004, Республика Тыва, г. Кызыл, ул. Колхозная 2Б, Центральный склад АО «Россети Сибирь Тываэнерго».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</w:rPr>
      </w:r>
    </w:p>
    <w:p>
      <w:pPr>
        <w:pStyle w:val="99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99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</w:t>
      </w:r>
      <w:r>
        <w:rPr>
          <w:rFonts w:ascii="Tinos" w:hAnsi="Tinos" w:eastAsia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</w:t>
      </w:r>
      <w:r>
        <w:rPr>
          <w:rFonts w:ascii="Tinos" w:hAnsi="Tinos" w:eastAsia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</w:t>
      </w:r>
      <w:r>
        <w:rPr>
          <w:rFonts w:ascii="Tinos" w:hAnsi="Tinos" w:eastAsia="Tinos" w:cs="Tinos"/>
          <w:sz w:val="22"/>
          <w:szCs w:val="22"/>
        </w:rPr>
        <w:t xml:space="preserve">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4.  Качество и порядок приемки Продукции</w:t>
      </w:r>
      <w:r>
        <w:rPr>
          <w:rFonts w:ascii="Tinos" w:hAnsi="Tinos" w:cs="Tinos"/>
          <w:b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4.1. Поставляемая Продукция должна быть экологически безопасной и по своему качеству должна </w:t>
      </w:r>
      <w:r>
        <w:rPr>
          <w:rFonts w:ascii="Tinos" w:hAnsi="Tinos" w:eastAsia="Tinos" w:cs="Tinos"/>
        </w:rPr>
        <w:t xml:space="preserve">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поставки или предшествующий ему, и быть ранее не использованной.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nos" w:hAnsi="Tinos" w:cs="Tinos"/>
        </w:rPr>
      </w:r>
    </w:p>
    <w:p>
      <w:pPr>
        <w:pStyle w:val="102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Продукция должна соответствовать требованиям: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Действующих на территории Российской Федерации нормативно-технических документов;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Положения ПАО «Россети» О единой технической политике в электросетевом комплексе РФ;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6"/>
        </w:numPr>
        <w:contextualSpacing w:val="0"/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3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</w:rPr>
        <w:t xml:space="preserve">ГОСТ 14695-80 «Подстанции трансформаторные комплектные мощностью от 25 до 2500 кВ·А на напряжение до 10 кВ. Общие технические условия»;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6"/>
        </w:numPr>
        <w:contextualSpacing w:val="0"/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  <w:pBdr>
          <w:top w:val="none" w:color="000000" w:sz="4" w:space="0"/>
          <w:left w:val="none" w:color="000000" w:sz="4" w:space="3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</w:rPr>
        <w:t xml:space="preserve">СТО 34.01-3.2-011-2021 «Трансформаторы силовые распределительные 6-10 кВ мощностью   63-2500   кВА.   Требования   к   уровню   потерь   холостого   хода   и   короткого замыкания»;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 34.01-3.1-001-2016 «Комплектные трансформаторные подстанции 6-20/0,4 кв. Общие технические требования».</w:t>
      </w:r>
      <w:r>
        <w:rPr>
          <w:rFonts w:ascii="Tinos" w:hAnsi="Tinos" w:cs="Tinos"/>
        </w:rPr>
      </w:r>
    </w:p>
    <w:p>
      <w:pPr>
        <w:pStyle w:val="102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</w:t>
      </w:r>
      <w:r>
        <w:rPr>
          <w:rFonts w:ascii="Tinos" w:hAnsi="Tinos" w:eastAsia="Tinos" w:cs="Tinos"/>
        </w:rPr>
        <w:t xml:space="preserve">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r>
        <w:rPr>
          <w:rFonts w:ascii="Tinos" w:hAnsi="Tinos" w:cs="Tinos"/>
        </w:rPr>
      </w:r>
    </w:p>
    <w:p>
      <w:pPr>
        <w:pStyle w:val="1025"/>
        <w:ind w:left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Продукция должна снабжаться идентифицирующей и информационной маркировкой, обеспечивающей потребителя полн</w:t>
      </w:r>
      <w:r>
        <w:rPr>
          <w:rFonts w:ascii="Tinos" w:hAnsi="Tinos" w:eastAsia="Tinos" w:cs="Tinos"/>
        </w:rPr>
        <w:t xml:space="preserve">ой информацией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nos" w:hAnsi="Tinos" w:cs="Tinos"/>
        </w:rPr>
      </w:r>
    </w:p>
    <w:p>
      <w:pPr>
        <w:pStyle w:val="102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Наличие сервисного центра предприятия-производителя в РФ.</w:t>
      </w:r>
      <w:r>
        <w:rPr>
          <w:rFonts w:ascii="Tinos" w:hAnsi="Tinos" w:cs="Tinos"/>
        </w:rPr>
      </w:r>
    </w:p>
    <w:p>
      <w:pPr>
        <w:pStyle w:val="102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Наличие типовых технических решений по монтажу КТП, в том числе столбового исполнения.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Документация на систему телемеханики и АИИС КУЭ включая:</w:t>
      </w:r>
      <w:r>
        <w:rPr>
          <w:rFonts w:ascii="Tinos" w:hAnsi="Tinos" w:cs="Tinos"/>
          <w:sz w:val="26"/>
          <w:szCs w:val="26"/>
        </w:rPr>
      </w:r>
    </w:p>
    <w:p>
      <w:pPr>
        <w:pStyle w:val="1025"/>
        <w:numPr>
          <w:ilvl w:val="0"/>
          <w:numId w:val="26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конструкторскую документацию на совмещенный шкаф телемеханики и АИИС КУЭ; </w:t>
      </w:r>
      <w:r>
        <w:rPr>
          <w:rFonts w:ascii="Tinos" w:hAnsi="Tinos" w:cs="Tinos"/>
          <w:sz w:val="26"/>
          <w:szCs w:val="26"/>
        </w:rPr>
      </w:r>
    </w:p>
    <w:p>
      <w:pPr>
        <w:pStyle w:val="1025"/>
        <w:numPr>
          <w:ilvl w:val="0"/>
          <w:numId w:val="26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спецификацию оборудования шкафа;</w:t>
      </w:r>
      <w:r>
        <w:rPr>
          <w:rFonts w:ascii="Tinos" w:hAnsi="Tinos" w:cs="Tinos"/>
          <w:sz w:val="26"/>
          <w:szCs w:val="26"/>
        </w:rPr>
      </w:r>
    </w:p>
    <w:p>
      <w:pPr>
        <w:pStyle w:val="1025"/>
        <w:numPr>
          <w:ilvl w:val="0"/>
          <w:numId w:val="26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спецификацию кабельной продукции оборудования и материалов, монтируемых за пределами шкафа;</w:t>
      </w:r>
      <w:r>
        <w:rPr>
          <w:rFonts w:ascii="Tinos" w:hAnsi="Tinos" w:cs="Tinos"/>
          <w:sz w:val="26"/>
          <w:szCs w:val="26"/>
        </w:rPr>
      </w:r>
    </w:p>
    <w:p>
      <w:pPr>
        <w:pStyle w:val="1025"/>
        <w:numPr>
          <w:ilvl w:val="0"/>
          <w:numId w:val="26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схему подключения цепей питания, телесигнализации и измерения к основному оборудованию;</w:t>
      </w:r>
      <w:r>
        <w:rPr>
          <w:rFonts w:ascii="Tinos" w:hAnsi="Tinos" w:cs="Tinos"/>
          <w:sz w:val="26"/>
          <w:szCs w:val="26"/>
        </w:rPr>
      </w:r>
    </w:p>
    <w:p>
      <w:pPr>
        <w:pStyle w:val="1025"/>
        <w:numPr>
          <w:ilvl w:val="0"/>
          <w:numId w:val="26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план размещения шкафа и прокладки кабельной продукции на КТП;</w:t>
      </w:r>
      <w:r>
        <w:rPr>
          <w:rFonts w:ascii="Tinos" w:hAnsi="Tinos" w:cs="Tinos"/>
          <w:sz w:val="26"/>
          <w:szCs w:val="26"/>
        </w:rPr>
      </w:r>
    </w:p>
    <w:p>
      <w:pPr>
        <w:pStyle w:val="1025"/>
        <w:numPr>
          <w:ilvl w:val="0"/>
          <w:numId w:val="26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чертеж монтажа шкафа и оборудования (датчики ОПС, открытия дверей, промежуточные реле) на КТП;</w:t>
      </w:r>
      <w:r>
        <w:rPr>
          <w:rFonts w:ascii="Tinos" w:hAnsi="Tinos" w:cs="Tinos"/>
          <w:sz w:val="26"/>
          <w:szCs w:val="26"/>
        </w:rPr>
      </w:r>
    </w:p>
    <w:p>
      <w:pPr>
        <w:pStyle w:val="1025"/>
        <w:numPr>
          <w:ilvl w:val="0"/>
          <w:numId w:val="26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кабельный журнал.</w:t>
      </w:r>
      <w:r>
        <w:rPr>
          <w:rFonts w:ascii="Tinos" w:hAnsi="Tinos" w:cs="Tinos"/>
          <w:sz w:val="26"/>
          <w:szCs w:val="26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использования реле контроля напряжения, для косвенного определения положения выключателя отходящей линии 0,4 кВ, необходимо предоставить согласованный с производителем выключателя способ подключения контрольных цепей к выключателю.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4.2. Срок гарантии на поставляемую Продукцию должен быть не менее 5 (пяти) лет. Время начала исчисления гарантийного срока – с момента </w:t>
      </w:r>
      <w:r>
        <w:rPr>
          <w:rFonts w:ascii="Tinos" w:hAnsi="Tinos" w:eastAsia="Tinos" w:cs="Tinos"/>
          <w:bCs/>
        </w:rPr>
        <w:t xml:space="preserve">ввода оборудования и материалов в эксплуатацию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pStyle w:val="102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  <w:r>
        <w:rPr>
          <w:rFonts w:ascii="Tinos" w:hAnsi="Tinos" w:cs="Tinos"/>
        </w:rPr>
      </w:r>
    </w:p>
    <w:p>
      <w:pPr>
        <w:pStyle w:val="102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bCs/>
        </w:rPr>
        <w:t xml:space="preserve">В случае выхода из строя оборудования и материалов Поставщик обязан направить своего представителя для уча</w:t>
      </w:r>
      <w:r>
        <w:rPr>
          <w:rFonts w:ascii="Tinos" w:hAnsi="Tinos" w:eastAsia="Tinos" w:cs="Tinos"/>
          <w:bCs/>
        </w:rPr>
        <w:t xml:space="preserve">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4.3. Покупатель обязан оперативно уведомить Поставщика в письменной форме обо всех претензиях, связанных с невыполнением требований п. 4.1. Договора. П</w:t>
      </w:r>
      <w:r>
        <w:rPr>
          <w:rFonts w:ascii="Tinos" w:hAnsi="Tinos" w:eastAsia="Tinos" w:cs="Tinos"/>
        </w:rPr>
        <w:t xml:space="preserve"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4.4. Если Поставщик, получив уведомление, не исправит дефект(ы) или не произведет замену некачественной Продукции в сроки, указанные в п. 4.3 настоящего До</w:t>
      </w:r>
      <w:r>
        <w:rPr>
          <w:rFonts w:ascii="Tinos" w:hAnsi="Tinos" w:eastAsia="Tinos" w:cs="Tinos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4.5.  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качеству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</w:rPr>
      </w:r>
    </w:p>
    <w:p>
      <w:pPr>
        <w:pStyle w:val="1025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количеству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приемке Продукции осуществляется:</w:t>
      </w:r>
      <w:r>
        <w:rPr>
          <w:rFonts w:ascii="Tinos" w:hAnsi="Tinos" w:cs="Tinos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внешний осмотр тары и упаковки;</w:t>
      </w:r>
      <w:r>
        <w:rPr>
          <w:rFonts w:ascii="Tinos" w:hAnsi="Tinos" w:cs="Tinos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nos" w:hAnsi="Tinos" w:cs="Tinos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</w:rPr>
      </w:r>
    </w:p>
    <w:p>
      <w:pPr>
        <w:pStyle w:val="1025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</w:rPr>
      </w:r>
    </w:p>
    <w:p>
      <w:pPr>
        <w:pStyle w:val="1025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</w:rPr>
      </w:r>
    </w:p>
    <w:p>
      <w:pPr>
        <w:pStyle w:val="1025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Полный комплект технической и эксплуа</w:t>
      </w:r>
      <w:r>
        <w:rPr>
          <w:rFonts w:ascii="Tinos" w:hAnsi="Tinos" w:eastAsia="Tinos" w:cs="Tinos"/>
        </w:rPr>
        <w:t xml:space="preserve">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материалов.;</w:t>
      </w:r>
      <w:r>
        <w:rPr>
          <w:rFonts w:ascii="Tinos" w:hAnsi="Tinos" w:cs="Tinos"/>
        </w:rPr>
      </w:r>
    </w:p>
    <w:p>
      <w:pPr>
        <w:pStyle w:val="1025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Российские сертификаты (декларации) соответствия требованиям ГОСТ Р (ГОСТ или ТУ (с приложением данных ТУ)) и безопасности.;</w:t>
      </w:r>
      <w:r>
        <w:rPr>
          <w:rFonts w:ascii="Tinos" w:hAnsi="Tinos" w:cs="Tinos"/>
        </w:rPr>
      </w:r>
    </w:p>
    <w:p>
      <w:pPr>
        <w:pStyle w:val="1025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</w:t>
      </w:r>
      <w:r>
        <w:rPr>
          <w:rFonts w:ascii="Tinos" w:hAnsi="Tinos" w:eastAsia="Tinos" w:cs="Tinos"/>
          <w:lang w:val="en-US"/>
        </w:rPr>
        <w:t xml:space="preserve"> </w:t>
      </w:r>
      <w:r>
        <w:rPr>
          <w:rFonts w:ascii="Tinos" w:hAnsi="Tinos" w:eastAsia="Tinos" w:cs="Tinos"/>
        </w:rPr>
        <w:t xml:space="preserve">В состав принадлежностей </w:t>
      </w:r>
      <w:r>
        <w:rPr>
          <w:rFonts w:ascii="Tinos" w:hAnsi="Tinos" w:eastAsia="Tinos" w:cs="Tinos"/>
        </w:rPr>
        <w:t xml:space="preserve">должны входит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  <w:r>
        <w:rPr>
          <w:rFonts w:ascii="Tinos" w:hAnsi="Tinos" w:cs="Tinos"/>
        </w:rPr>
      </w:r>
    </w:p>
    <w:p>
      <w:pPr>
        <w:pStyle w:val="1025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Гарантийные свидетельства;</w:t>
      </w:r>
      <w:r>
        <w:rPr>
          <w:rFonts w:ascii="Tinos" w:hAnsi="Tinos" w:cs="Tinos"/>
        </w:rPr>
      </w:r>
    </w:p>
    <w:p>
      <w:pPr>
        <w:pStyle w:val="1025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  <w:r>
        <w:rPr>
          <w:rFonts w:ascii="Tinos" w:hAnsi="Tinos" w:cs="Tinos"/>
        </w:rPr>
      </w:r>
    </w:p>
    <w:p>
      <w:pPr>
        <w:pStyle w:val="1025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</w:rPr>
      </w:r>
    </w:p>
    <w:p>
      <w:pPr>
        <w:pStyle w:val="1025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</w:rPr>
      </w:r>
    </w:p>
    <w:p>
      <w:pPr>
        <w:pStyle w:val="1025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                                                               5.  Тара и упаковка</w:t>
      </w:r>
      <w:r>
        <w:rPr>
          <w:rFonts w:ascii="Tinos" w:hAnsi="Tinos" w:cs="Tinos"/>
          <w:b/>
        </w:rPr>
      </w:r>
    </w:p>
    <w:p>
      <w:pPr>
        <w:pStyle w:val="100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</w:p>
    <w:p>
      <w:pPr>
        <w:pStyle w:val="100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пунктами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</w:t>
      </w:r>
      <w:r>
        <w:rPr>
          <w:rFonts w:ascii="Tinos" w:hAnsi="Tinos" w:eastAsia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49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10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hAnsi="Tinos" w:eastAsia="Tinos" w:cs="Tinos"/>
          <w:sz w:val="22"/>
          <w:szCs w:val="22"/>
        </w:rPr>
        <w:t xml:space="preserve"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1" w:tooltip="mailto:tuvaenergo@tv.rosseti-sib.ru" w:history="1">
        <w:r>
          <w:rPr>
            <w:rStyle w:val="1014"/>
            <w:rFonts w:ascii="Tinos" w:hAnsi="Tinos" w:eastAsia="Tinos" w:cs="Tinos"/>
            <w:sz w:val="22"/>
            <w:szCs w:val="22"/>
          </w:rPr>
          <w:t xml:space="preserve">tuvaenergo@tv.rosseti-sib.ru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</w:t>
      </w:r>
      <w:r>
        <w:rPr>
          <w:rFonts w:ascii="Tinos" w:hAnsi="Tinos" w:eastAsia="Tinos" w:cs="Tinos"/>
          <w:sz w:val="22"/>
          <w:szCs w:val="22"/>
        </w:rPr>
        <w:t xml:space="preserve"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highlight w:val="white"/>
        </w:rPr>
      </w:pPr>
      <w:r>
        <w:rPr>
          <w:rFonts w:ascii="Tinos" w:hAnsi="Tinos" w:eastAsia="Tinos" w:cs="Tinos"/>
          <w:b/>
          <w:bCs/>
          <w:highlight w:val="white"/>
        </w:rPr>
        <w:t xml:space="preserve">Обеспечение исполнения обязательств</w:t>
      </w:r>
      <w:r>
        <w:rPr>
          <w:rStyle w:val="1010"/>
          <w:rFonts w:ascii="Tinos" w:hAnsi="Tinos" w:eastAsia="Tinos" w:cs="Tinos"/>
          <w:b/>
          <w:bCs/>
          <w:highlight w:val="white"/>
        </w:rPr>
        <w:footnoteReference w:id="5"/>
      </w:r>
      <w:r>
        <w:rPr>
          <w:rFonts w:ascii="Tinos" w:hAnsi="Tinos" w:cs="Tinos"/>
          <w:b/>
          <w:bCs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10"/>
          <w:rFonts w:ascii="Tinos" w:hAnsi="Tinos" w:eastAsia="Tinos" w:cs="Tinos"/>
          <w:highlight w:val="white"/>
        </w:rPr>
        <w:footnoteReference w:id="6"/>
      </w:r>
      <w:r>
        <w:rPr>
          <w:rFonts w:ascii="Tinos" w:hAnsi="Tinos" w:eastAsia="Tinos" w:cs="Tinos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Обстоятельства непреодолимой силы</w:t>
      </w:r>
      <w:r>
        <w:rPr>
          <w:rFonts w:ascii="Tinos" w:hAnsi="Tinos" w:cs="Tinos"/>
          <w:b/>
          <w:bCs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</w:rPr>
      </w:r>
    </w:p>
    <w:p>
      <w:pPr>
        <w:pStyle w:val="102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Антикоррупционная оговорка</w:t>
      </w:r>
      <w:r>
        <w:rPr>
          <w:rFonts w:ascii="Tinos" w:hAnsi="Tinos" w:cs="Tinos"/>
          <w:b/>
          <w:bCs/>
        </w:rPr>
      </w:r>
    </w:p>
    <w:p>
      <w:pPr>
        <w:pStyle w:val="102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</w:rPr>
      </w:r>
    </w:p>
    <w:p>
      <w:pPr>
        <w:pStyle w:val="102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14"/>
            <w:rFonts w:ascii="Tinos" w:hAnsi="Tinos" w:eastAsia="Tinos" w:cs="Tinos"/>
          </w:rPr>
          <w:t xml:space="preserve">http://www.tuvaenergo.ru/buy/corruption.php</w:t>
        </w:r>
      </w:hyperlink>
      <w:r>
        <w:rPr>
          <w:rFonts w:ascii="Tinos" w:hAnsi="Tinos" w:eastAsia="Tinos" w:cs="Tinos"/>
        </w:rPr>
        <w:t xml:space="preserve">, полностью принимает положения Антик</w:t>
      </w:r>
      <w:r>
        <w:rPr>
          <w:rFonts w:ascii="Tinos" w:hAnsi="Tinos" w:eastAsia="Tinos" w:cs="Tinos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</w:rPr>
      </w:r>
    </w:p>
    <w:p>
      <w:pPr>
        <w:pStyle w:val="102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</w:rPr>
      </w:r>
    </w:p>
    <w:p>
      <w:pPr>
        <w:pStyle w:val="1025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</w:rPr>
      </w:r>
    </w:p>
    <w:p>
      <w:pPr>
        <w:pStyle w:val="102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</w:rPr>
      </w:r>
    </w:p>
    <w:p>
      <w:pPr>
        <w:pStyle w:val="1025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письменном уведомлении Сторона обязана сослаться на факты и/или предоста</w:t>
      </w:r>
      <w:r>
        <w:rPr>
          <w:rFonts w:ascii="Tinos" w:hAnsi="Tinos" w:eastAsia="Tinos" w:cs="Tinos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</w:rPr>
      </w:r>
    </w:p>
    <w:p>
      <w:pPr>
        <w:pStyle w:val="102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hAnsi="Tinos" w:eastAsia="Tinos" w:cs="Tinos"/>
        </w:rPr>
        <w:t xml:space="preserve"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Конфиденциальность</w:t>
      </w:r>
      <w:r>
        <w:rPr>
          <w:rFonts w:ascii="Tinos" w:hAnsi="Tinos" w:cs="Tinos"/>
          <w:b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Уступка права требования</w:t>
      </w:r>
      <w:r>
        <w:rPr>
          <w:rStyle w:val="1010"/>
          <w:rFonts w:ascii="Tinos" w:hAnsi="Tinos" w:eastAsia="Tinos" w:cs="Tinos"/>
          <w:b/>
        </w:rPr>
        <w:footnoteReference w:id="7"/>
      </w:r>
      <w:r>
        <w:rPr>
          <w:rFonts w:ascii="Tinos" w:hAnsi="Tinos" w:cs="Tinos"/>
          <w:b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11.1.</w:t>
      </w:r>
      <w:r>
        <w:rPr>
          <w:rFonts w:ascii="Tinos" w:hAnsi="Tinos" w:eastAsia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11.2.</w:t>
      </w:r>
      <w:r>
        <w:rPr>
          <w:rFonts w:ascii="Tinos" w:hAnsi="Tinos" w:eastAsia="Tinos" w:cs="Tinos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11.3.</w:t>
      </w:r>
      <w:r>
        <w:rPr>
          <w:rFonts w:ascii="Tinos" w:hAnsi="Tinos" w:eastAsia="Tinos" w:cs="Tinos"/>
        </w:rPr>
        <w:tab/>
        <w:t xml:space="preserve">В случае переусту</w:t>
      </w:r>
      <w:r>
        <w:rPr>
          <w:rFonts w:ascii="Tinos" w:hAnsi="Tinos" w:eastAsia="Tinos" w:cs="Tinos"/>
        </w:rPr>
        <w:t xml:space="preserve"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11.4.</w:t>
      </w:r>
      <w:r>
        <w:rPr>
          <w:rFonts w:ascii="Tinos" w:hAnsi="Tinos" w:eastAsia="Tinos" w:cs="Tinos"/>
        </w:rPr>
        <w:tab/>
        <w:t xml:space="preserve">Куратор договора в течение 1 (одного) рабочего дня с даты получения в соответствии с п. 10.1 оригинала </w:t>
      </w:r>
      <w:r>
        <w:rPr>
          <w:rFonts w:ascii="Tinos" w:hAnsi="Tinos" w:eastAsia="Tinos" w:cs="Tinos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14"/>
            <w:rFonts w:ascii="Tinos" w:hAnsi="Tinos" w:eastAsia="Tinos" w:cs="Tinos"/>
          </w:rPr>
          <w:t xml:space="preserve">cfd@rosseti.ru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Толкование договора</w:t>
      </w:r>
      <w:r>
        <w:rPr>
          <w:rFonts w:ascii="Tinos" w:hAnsi="Tinos" w:cs="Tinos"/>
          <w:b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Особые условия</w:t>
      </w:r>
      <w:r>
        <w:rPr>
          <w:rFonts w:ascii="Tinos" w:hAnsi="Tinos" w:cs="Tinos"/>
          <w:b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</w:t>
      </w:r>
      <w:r>
        <w:rPr>
          <w:rFonts w:ascii="Tinos" w:hAnsi="Tinos" w:eastAsia="Tinos" w:cs="Tinos"/>
        </w:rPr>
        <w:t xml:space="preserve">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14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nos" w:hAnsi="Tinos" w:eastAsia="Tinos" w:cs="Tinos"/>
        </w:rPr>
        <w:t xml:space="preserve">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14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hAnsi="Tinos" w:eastAsia="Tinos" w:cs="Tinos"/>
        </w:rPr>
        <w:t xml:space="preserve"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hAnsi="Tinos" w:eastAsia="Tinos" w:cs="Tinos"/>
        </w:rPr>
        <w:t xml:space="preserve"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hAnsi="Tinos" w:eastAsia="Tinos" w:cs="Tinos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1014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. 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</w:t>
      </w:r>
      <w:r>
        <w:rPr>
          <w:rFonts w:ascii="Tinos" w:hAnsi="Tinos" w:eastAsia="Tinos" w:cs="Tinos"/>
        </w:rPr>
        <w:t xml:space="preserve">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зарегистрирован в ЕГРЮЛ надлежащим образом;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налоговый учет и составляет на</w:t>
      </w:r>
      <w:r>
        <w:rPr>
          <w:rFonts w:ascii="Tinos" w:hAnsi="Tinos" w:eastAsia="Tinos" w:cs="Tinos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</w:p>
    <w:p>
      <w:pPr>
        <w:pStyle w:val="1025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</w:rPr>
      </w:r>
    </w:p>
    <w:p>
      <w:pPr>
        <w:pStyle w:val="1025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</w:rPr>
        <w:t xml:space="preserve">Покупателя</w:t>
      </w:r>
      <w:r>
        <w:rPr>
          <w:rFonts w:ascii="Tinos" w:hAnsi="Tinos" w:eastAsia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 воз</w:t>
      </w:r>
      <w:r>
        <w:rPr>
          <w:rFonts w:ascii="Tinos" w:hAnsi="Tinos" w:eastAsia="Tinos" w:cs="Tinos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то </w:t>
      </w:r>
      <w:r>
        <w:rPr>
          <w:rFonts w:ascii="Tinos" w:hAnsi="Tinos" w:eastAsia="Tinos" w:cs="Tinos"/>
          <w:spacing w:val="-2"/>
        </w:rPr>
        <w:t xml:space="preserve">Поставщик</w:t>
      </w:r>
      <w:r>
        <w:rPr>
          <w:rFonts w:ascii="Tinos" w:hAnsi="Tinos" w:eastAsia="Tinos" w:cs="Tinos"/>
        </w:rPr>
        <w:t xml:space="preserve"> обязуется возместить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</w:t>
      </w:r>
      <w:r>
        <w:rPr>
          <w:rFonts w:ascii="Tinos" w:hAnsi="Tinos" w:eastAsia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Заключительные положения</w:t>
      </w:r>
      <w:r>
        <w:rPr>
          <w:rFonts w:ascii="Tinos" w:hAnsi="Tinos" w:cs="Tinos"/>
          <w:b/>
        </w:rPr>
      </w:r>
    </w:p>
    <w:p>
      <w:pPr>
        <w:pStyle w:val="99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______.</w:t>
      </w:r>
      <w:r>
        <w:rPr>
          <w:rFonts w:ascii="Tinos" w:hAnsi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14"/>
            <w:rFonts w:ascii="Tinos" w:hAnsi="Tinos" w:eastAsia="Tinos" w:cs="Tinos"/>
            <w:sz w:val="22"/>
            <w:szCs w:val="22"/>
            <w:lang w:val="en-US"/>
          </w:rPr>
          <w:t xml:space="preserve">BaturinNV@tuva.mrsk-sib.ru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 . 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14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14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14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14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14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14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14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14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14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</w:p>
    <w:p>
      <w:pPr>
        <w:pStyle w:val="99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невыполне</w:t>
      </w:r>
      <w:r>
        <w:rPr>
          <w:rFonts w:ascii="Tinos" w:hAnsi="Tinos" w:eastAsia="Tinos" w:cs="Tinos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14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, </w:t>
      </w:r>
      <w:hyperlink r:id="rId20" w:tooltip="mailto:BaturinNV@tv.rosseti-sib.ru" w:history="1">
        <w:r>
          <w:rPr>
            <w:rStyle w:val="1014"/>
            <w:rFonts w:ascii="Tinos" w:hAnsi="Tinos" w:eastAsia="Tinos" w:cs="Tinos"/>
          </w:rPr>
          <w:t xml:space="preserve">BaturinNV@tv.rosseti-sib.ru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KularAY@tv.rosseti-sib.ru</w:t>
      </w:r>
      <w:r>
        <w:rPr>
          <w:rFonts w:ascii="Tinos" w:hAnsi="Tinos" w:eastAsia="Tinos" w:cs="Tinos"/>
        </w:rPr>
        <w:t xml:space="preserve"> на адрес электронной почты Поставщика: _______ 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14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, </w:t>
      </w:r>
      <w:hyperlink r:id="rId22" w:tooltip="mailto:BaturinNV@tv.rosseti-sib.ru" w:history="1">
        <w:r>
          <w:rPr>
            <w:rStyle w:val="1014"/>
            <w:rFonts w:ascii="Tinos" w:hAnsi="Tinos" w:eastAsia="Tinos" w:cs="Tinos"/>
          </w:rPr>
          <w:t xml:space="preserve">BaturinNV@tv.rosseti-sib.ru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KularAY@tv.rosseti-sib.ru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pStyle w:val="1005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</w:t>
      </w:r>
      <w:r>
        <w:rPr>
          <w:rFonts w:ascii="Tinos" w:hAnsi="Tinos" w:eastAsia="Tinos" w:cs="Tinos"/>
          <w:sz w:val="22"/>
          <w:szCs w:val="22"/>
        </w:rPr>
        <w:t xml:space="preserve"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Приложения к Договору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1. Спецификация.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4. Характеристики и требования к поставляемому оборудованию;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5.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16.  Юридические адреса и реквизиты сторон</w:t>
      </w:r>
      <w:r>
        <w:rPr>
          <w:rFonts w:ascii="Tinos" w:hAnsi="Tinos" w:cs="Tinos"/>
          <w:b/>
        </w:rPr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>
        <w:tblPrEx/>
        <w:trPr>
          <w:trHeight w:val="411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ОГРН 1021700509566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_____________________/ А.В. Лукин /</w:t>
            </w:r>
            <w:r>
              <w:rPr>
                <w:rFonts w:ascii="Tinos" w:hAnsi="Tinos" w:cs="Tino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юридический: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почтовый: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ИНН/КПП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Р/с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К/с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БИК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ОГРН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ОКПО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_____________________/  /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02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679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pStyle w:val="1007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567" w:left="850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     Приложение № 1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pStyle w:val="1007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№______от _______20__г.</w:t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_____________от_______20__г.</w:t>
      </w:r>
      <w:r>
        <w:rPr>
          <w:rFonts w:ascii="Tinos" w:hAnsi="Tinos" w:cs="Tinos"/>
          <w:bCs/>
        </w:rPr>
      </w:r>
    </w:p>
    <w:tbl>
      <w:tblPr>
        <w:tblpPr w:horzAnchor="page" w:tblpX="1134" w:vertAnchor="page" w:tblpY="3116" w:leftFromText="180" w:topFromText="0" w:rightFromText="180" w:bottomFromText="0"/>
        <w:tblW w:w="10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3"/>
        <w:gridCol w:w="1416"/>
        <w:gridCol w:w="1556"/>
        <w:gridCol w:w="1843"/>
        <w:gridCol w:w="1278"/>
        <w:gridCol w:w="709"/>
        <w:gridCol w:w="709"/>
        <w:gridCol w:w="1134"/>
        <w:gridCol w:w="1276"/>
      </w:tblGrid>
      <w:tr>
        <w:tblPrEx/>
        <w:trPr/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gridSpan w:val="2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eastAsia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товара (указывается номер реестровой записи товара при его наличии)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1000010680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(ЛТП)КТПТ-ВВ-250/10 3.1.2.2.0.0.1.0.0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8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eastAsia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1000010770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(ЛТП)Трансформатор ТМГ-250/10/0,4 Y/Zн11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eastAsia="Tinos" w:cs="Tinos"/>
                <w:sz w:val="20"/>
                <w:szCs w:val="20"/>
              </w:rPr>
            </w:pPr>
            <w:r/>
            <w:bookmarkStart w:id="0" w:name="_GoBack"/>
            <w:r/>
            <w:bookmarkEnd w:id="0"/>
            <w:r/>
            <w:r>
              <w:rPr>
                <w:rFonts w:ascii="Tinos" w:hAnsi="Tinos" w:eastAsia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W w:w="709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eastAsia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</w:p>
        </w:tc>
        <w:tc>
          <w:tcPr>
            <w:gridSpan w:val="7"/>
            <w:tcW w:w="8645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2"/>
            <w:tcW w:w="709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eastAsia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</w:p>
        </w:tc>
        <w:tc>
          <w:tcPr>
            <w:gridSpan w:val="7"/>
            <w:tcW w:w="8645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709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eastAsia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</w:p>
        </w:tc>
        <w:tc>
          <w:tcPr>
            <w:gridSpan w:val="7"/>
            <w:tcW w:w="8645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05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2"/>
          <w:szCs w:val="22"/>
        </w:rPr>
      </w:pPr>
      <w:r>
        <w:rPr>
          <w:rFonts w:ascii="Tinos" w:hAnsi="Tinos" w:cs="Tinos"/>
          <w:b/>
          <w:bCs/>
          <w:i/>
          <w:sz w:val="22"/>
          <w:szCs w:val="22"/>
        </w:rPr>
      </w:r>
      <w:r>
        <w:rPr>
          <w:rFonts w:ascii="Tinos" w:hAnsi="Tinos" w:cs="Tinos"/>
          <w:b/>
          <w:bCs/>
          <w:i/>
          <w:sz w:val="22"/>
          <w:szCs w:val="22"/>
        </w:rPr>
      </w:r>
    </w:p>
    <w:p>
      <w:pPr>
        <w:pStyle w:val="1005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Срок поставки: в течение 45 (сорока пяти) календарных дней с даты заключения Договора.</w:t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</w:rPr>
        <w:t xml:space="preserve">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     ПОСТАВЩИК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_____________________/</w:t>
      </w:r>
      <w:r>
        <w:rPr>
          <w:rFonts w:ascii="Tinos" w:hAnsi="Tinos" w:eastAsia="Tinos" w:cs="Tinos"/>
        </w:rPr>
        <w:t xml:space="preserve"> А.В. Лукин</w:t>
      </w:r>
      <w:r>
        <w:rPr>
          <w:rFonts w:ascii="Tinos" w:hAnsi="Tinos" w:eastAsia="Tinos" w:cs="Tinos"/>
          <w:bCs/>
        </w:rPr>
        <w:t xml:space="preserve"> /   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 М.П.                                                                                М.П.   </w:t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</w:rPr>
        <w:t xml:space="preserve">  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2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</w:rPr>
        <w:suppressLineNumbers/>
      </w:pPr>
      <w:r/>
      <w:bookmarkStart w:id="1" w:name="_Toc359424111"/>
      <w:r>
        <w:rPr>
          <w:rFonts w:ascii="Tinos" w:hAnsi="Tinos" w:eastAsia="Tinos" w:cs="Tinos"/>
          <w:b/>
          <w:caps/>
        </w:rPr>
        <w:t xml:space="preserve">СО 6.1401/0</w:t>
      </w:r>
      <w:bookmarkEnd w:id="1"/>
      <w:r/>
      <w:r>
        <w:rPr>
          <w:rFonts w:ascii="Tinos" w:hAnsi="Tinos" w:cs="Tinos"/>
          <w:b/>
          <w:caps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от "____" __________ 20___</w:t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2" w:name="_Ref276562987"/>
      <w:r/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nos" w:hAnsi="Tinos" w:eastAsia="Tinos" w:cs="Tinos"/>
          <w:sz w:val="20"/>
          <w:szCs w:val="20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</w:t>
      </w:r>
      <w:r>
        <w:rPr>
          <w:rFonts w:ascii="Tinos" w:hAnsi="Tinos" w:eastAsia="Tinos" w:cs="Tinos"/>
          <w:sz w:val="20"/>
          <w:szCs w:val="20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</w:t>
      </w:r>
      <w:r>
        <w:rPr>
          <w:rFonts w:ascii="Tinos" w:hAnsi="Tinos" w:eastAsia="Tinos" w:cs="Tinos"/>
          <w:sz w:val="20"/>
          <w:szCs w:val="20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</w:t>
      </w:r>
      <w:r>
        <w:rPr>
          <w:rFonts w:ascii="Tinos" w:hAnsi="Tinos" w:eastAsia="Tinos" w:cs="Tinos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nos" w:hAnsi="Tinos" w:eastAsia="Tinos" w:cs="Tinos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nos" w:hAnsi="Tinos" w:eastAsia="Tinos" w:cs="Tinos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/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eastAsia="Tinos" w:cs="Tinos"/>
                <w:b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Cs/>
                    </w:rPr>
                  </w:r>
                  <w:r>
                    <w:rPr>
                      <w:rFonts w:ascii="Tinos" w:hAnsi="Tinos" w:cs="Tinos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Cs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Cs/>
                    </w:rPr>
                    <w:t xml:space="preserve">____ /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</w:rPr>
                    <w:t xml:space="preserve">М.П.</w:t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eastAsia="Tinos" w:cs="Tinos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</w:rPr>
                    <w:suppressLineNumbers/>
                  </w:pPr>
                  <w:r>
                    <w:rPr>
                      <w:rFonts w:ascii="Tinos" w:hAnsi="Tinos" w:cs="Tinos"/>
                    </w:rPr>
                  </w:r>
                  <w:r>
                    <w:rPr>
                      <w:rFonts w:ascii="Tinos" w:hAnsi="Tinos" w:cs="Tinos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</w:tbl>
    <w:p>
      <w:pPr>
        <w:spacing w:after="0" w:line="240" w:lineRule="auto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    </w:t>
      </w:r>
      <w:r>
        <w:rPr>
          <w:rFonts w:ascii="Tinos" w:hAnsi="Tinos" w:cs="Tinos"/>
        </w:rPr>
      </w:r>
    </w:p>
    <w:p>
      <w:pPr>
        <w:ind w:left="6237"/>
        <w:spacing w:after="0" w:line="240" w:lineRule="auto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    </w:t>
      </w:r>
      <w:r>
        <w:rPr>
          <w:rFonts w:ascii="Tinos" w:hAnsi="Tinos" w:cs="Tinos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           Приложение № 4</w:t>
      </w:r>
      <w:r>
        <w:rPr>
          <w:rFonts w:ascii="Tinos" w:hAnsi="Tinos" w:cs="Tinos"/>
          <w:sz w:val="18"/>
          <w:szCs w:val="18"/>
        </w:rPr>
      </w:r>
    </w:p>
    <w:p>
      <w:pPr>
        <w:ind w:left="6803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к Договору №________________</w:t>
      </w:r>
      <w:r>
        <w:rPr>
          <w:rFonts w:ascii="Tinos" w:hAnsi="Tinos" w:cs="Tinos"/>
          <w:sz w:val="18"/>
          <w:szCs w:val="18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от "____" __________ 20___</w:t>
      </w:r>
      <w:r>
        <w:rPr>
          <w:rFonts w:ascii="Tinos" w:hAnsi="Tinos" w:cs="Tinos"/>
          <w:b/>
          <w:bCs/>
          <w:sz w:val="18"/>
          <w:szCs w:val="18"/>
        </w:rPr>
      </w:r>
    </w:p>
    <w:p>
      <w:pPr>
        <w:spacing w:after="0" w:line="17" w:lineRule="atLeast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hAnsi="Tinos" w:cs="Tinos"/>
          <w:b/>
          <w:bCs/>
          <w:sz w:val="18"/>
          <w:szCs w:val="18"/>
        </w:rPr>
      </w:r>
      <w:r>
        <w:rPr>
          <w:rFonts w:ascii="Tinos" w:hAnsi="Tinos" w:cs="Tinos"/>
          <w:b/>
          <w:bCs/>
          <w:sz w:val="18"/>
          <w:szCs w:val="18"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widowControl w:val="of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Технические характеристики и требования к КТП 250 кВА </w:t>
      </w:r>
      <w:r>
        <w:rPr>
          <w:rFonts w:ascii="Times New Roman" w:hAnsi="Times New Roman"/>
          <w:b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0"/>
        <w:gridCol w:w="1562"/>
        <w:gridCol w:w="141"/>
        <w:gridCol w:w="1278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№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п/п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Технические характеристики 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(наименование параметра)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Требование (значение параметра)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Код параметра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(не подлежит изменению)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1.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ab/>
              <w:t xml:space="preserve">Производитель:</w:t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</w:rPr>
              <w:outlineLvl w:val="3"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43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1.1.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0"/>
                <w:numId w:val="30"/>
              </w:numPr>
              <w:ind w:left="142" w:firstLine="0"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КТП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ZPM_ZAVOD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43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.2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29"/>
              </w:numPr>
              <w:ind w:left="142" w:firstLine="0"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Силовой трансформатор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ZPM_ZAVOD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2. Заводской тип (марка)</w:t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</w:rPr>
              <w:outlineLvl w:val="3"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2.1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Заводской тип (марка) КТП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3. Основные требования к КТП</w:t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/>
                <w:bCs/>
              </w:rPr>
              <w:outlineLvl w:val="3"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514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3.1.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Конструктивное исполнение ТП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Тупиковая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ZPM_KONSTRUKCIYA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3.2.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Габаритные размеры (Д×Ш), мм, не более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3000х2200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ZPM_RAZMER_GABARIT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3.3.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Антикоррозийное покрытие металлоконструкции обеспечивающее защиту на весь срок службы,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3.4.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Каждый трансформатор устанавливается в отдельной камере,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3.5.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Наличие в трансформаторных отсеках вентиляционных жалюзийных решеток с обеих сторон наружу,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3.6.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Ошиновка главных цепей огрунтована и окрашена, выполнена расцветка фаз в соответствии с НТД,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3.7.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Контактные соединения имеют луженую поверхность,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3.8.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КТП оснащены всеми видами защит: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- от атмосферных и коммутационных перенапряжений, (да, нет);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- от перегрузки и междуфазных КЗ,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3.9.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Монтаж межшкафных соединений выполняется на заводе изготовителе,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3.10.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Окраска металлоконструкций и корпуса КТП полиэфирными порошковыми атмосферостойкими красками в фирменный цвет (Рис. 1), (да, нет);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Логотип Покупателя наносится в представленной пропорции (Рис. 2) , (да, нет);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Оформление КТП в представленном формате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(Рис. 3,4), (да, нет).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Знаки безопасности в соответствии с Рисунком 5, (да, нет).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3.11.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Двери КТП должны иметь резиновые уплотнители, степень защиты не ниже IP34,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3.12.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Наличие запирающих устройств дверей внутренней установки с универсальным ключом, предупреждающих об опасности знаков,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3.13.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Сплошной металлический пол внутри КТП, включая трансформаторные отсеки,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3.14.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Листовой металл на всех элементах КТП толщиной не менее 2 мм, (да, нет)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  <w:bCs/>
              </w:rPr>
              <w:outlineLvl w:val="3"/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4. 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4.1.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УХЛ1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ZPM_KLIMAT_RAZM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4.2.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Верхнее рабочее значение температуры окружающего воздуха, не ниже, °С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+40 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4.3.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-60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4.4.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Толщина стенки гололеда, не менее, мм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4.5.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36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4.6.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4.7.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Максимальная высота установки над уровнем моря, не ниже, м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1000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4.8.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Сейсмичность района, баллов по шкале MSK-64,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5. Общие параметры</w:t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Исполнение (киосковая/столбовая/бетонная)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Киосковая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ZFL_ISPOLNENIE_TP_RP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Тип КТП (тупиковая/проходная)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Тупиковая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ZFL_TIP_TP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5.3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pStyle w:val="1005"/>
              <w:spacing w:before="0"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Мощность КТП, кВА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pStyle w:val="1005"/>
              <w:jc w:val="center"/>
              <w:spacing w:before="0"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250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5.4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Номинальное напряжение ВН, кВ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ZPM_U_VN_NOM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1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5.5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Наибольшее рабочее напряжение ВН, кВ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ZPM_U_RAB_MAX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5.6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Номинальное напряжение НН, кВ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0,4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ZPM_U_NN_NOM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5.7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Номинальная частота, Гц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ZPM_F_NOM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5.8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Исполнение вводов ВН–НН, (кабель/воздух)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Воздух-воздух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5.9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Материал здания, (сэндвич-панели, металл, ж/бетонные блоки)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Металл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5.10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лестниц,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водослива,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обслуживания, </w:t>
            </w:r>
            <w:r>
              <w:rPr>
                <w:rFonts w:ascii="Tinos" w:hAnsi="Tinos" w:eastAsia="Tinos" w:cs="Tinos"/>
                <w:sz w:val="18"/>
                <w:szCs w:val="18"/>
              </w:rPr>
              <w:br/>
              <w:t xml:space="preserve">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5.13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Освещение аварийное, рабочее (тип светильников – светодиодные),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5.14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технических средств для поддержания рабочей температуры оборудования,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5.15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приборов технического учета электрической энергии на вводных присоединениях силовых трансформаторов РУНН,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5.16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приборов учета электрической энергии на отходящих присоединениях РУНН: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на присоединении, отходящем на наружное освещение (при его наличии), (да, нет)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на всех отходящих присоединениях,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shd w:val="clear" w:color="ffffff" w:fill="ffffff" w:themeFill="background1"/>
            <w:tcW w:w="817" w:type="dxa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5.17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 w:themeFill="background1"/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единого контроллера АСУ ТП, Телемеханики, АИИС КУЭ, поддерживающего цифровой обмен и возможность интеграции в SCADA/DMS/OMS – системы посредством различных видов цифровой связи (проводной, радио, GSM/GPRS, и пр).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fill="ffffff" w:themeFill="background1"/>
            <w:tcW w:w="817" w:type="dxa"/>
            <w:vMerge w:val="restart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5.18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 w:themeFill="background1"/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Требования к диагностированию: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– в соответствии с периодичностью и объемом указанными в СТО 34.01-23.1-001-2017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            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keepNext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6. Параметры РУВН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Производитель/Тип РУВН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Производитель / тип коммутационных аппаратов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1005"/>
              <w:ind w:left="-46" w:right="-104" w:hanging="14"/>
              <w:spacing w:before="0"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*/ разъединитель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6.3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Номинальный ток главных цепей, не менее, А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40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6.4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Ток термической стойкости на стороне ВН по ГОСТ 14695-80 (в течение 1с), не менее, кА: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1005"/>
              <w:jc w:val="center"/>
              <w:spacing w:before="0"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20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6.5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Ток электродинамической стойкости на стороне ВН по ГОСТ 14695-80, не менее, кА: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-250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i/>
                <w:sz w:val="24"/>
                <w:szCs w:val="24"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51</w:t>
            </w:r>
            <w:r>
              <w:rPr>
                <w:rFonts w:ascii="Tinos" w:hAnsi="Tinos" w:cs="Tinos"/>
                <w:i/>
                <w:sz w:val="24"/>
                <w:szCs w:val="24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6.6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pStyle w:val="1005"/>
              <w:spacing w:before="0" w:after="0" w:line="17" w:lineRule="atLeast"/>
              <w:rPr>
                <w:rFonts w:ascii="Tinos" w:hAnsi="Tinos" w:cs="Tinos"/>
              </w:rPr>
              <w:pBdr>
                <w:left w:val="single" w:color="000000" w:sz="6" w:space="0"/>
              </w:pBd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Номинальный ток плавкой вставки предохранителя (в сторону трансформатора), А при наличии </w:t>
            </w:r>
            <w:r>
              <w:rPr>
                <w:rFonts w:ascii="Tinos" w:hAnsi="Tinos" w:cs="Tinos"/>
              </w:rPr>
            </w:r>
          </w:p>
          <w:p>
            <w:pPr>
              <w:pStyle w:val="1005"/>
              <w:spacing w:before="0" w:after="0" w:line="17" w:lineRule="atLeast"/>
              <w:rPr>
                <w:rFonts w:ascii="Tinos" w:hAnsi="Tinos" w:cs="Tinos"/>
              </w:rPr>
              <w:pBdr>
                <w:left w:val="single" w:color="000000" w:sz="6" w:space="0"/>
              </w:pBd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-250</w:t>
            </w:r>
            <w:r>
              <w:rPr>
                <w:rFonts w:ascii="Tinos" w:hAnsi="Tinos" w:cs="Tinos"/>
              </w:rPr>
            </w:r>
          </w:p>
          <w:p>
            <w:pPr>
              <w:pStyle w:val="1005"/>
              <w:spacing w:before="0" w:after="0" w:line="17" w:lineRule="atLeast"/>
              <w:rPr>
                <w:rFonts w:ascii="Tinos" w:hAnsi="Tinos" w:cs="Tinos"/>
              </w:rPr>
              <w:pBdr>
                <w:left w:val="single" w:color="000000" w:sz="6" w:space="0"/>
              </w:pBd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1005"/>
              <w:jc w:val="center"/>
              <w:spacing w:before="0"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pStyle w:val="1005"/>
              <w:jc w:val="center"/>
              <w:spacing w:before="0"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  <w:p>
            <w:pPr>
              <w:pStyle w:val="1005"/>
              <w:jc w:val="center"/>
              <w:spacing w:before="0"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32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6.7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Условия обслуживания (одностороннее, двустороннее)*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 – только для обслуживаемых КТП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одностороннее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ZPM_OBSLUG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6.8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Степень защиты оболочек шкафов (КСО, КРУ, КРУЭ) по ГОСТ 14254-96, не менее*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 – только для обслуживаемых КТП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  <w:lang w:val="en-US"/>
              </w:rPr>
              <w:t xml:space="preserve">IP</w:t>
            </w: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23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ZPM_STEPEN_ZASHIT_OBOLOCH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6.9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Вид управления </w:t>
            </w: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разъединителей и заземляющих разъединителей, устройств ввода/вывода АВР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(местное, дистанционное), (да/ нет).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6.10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Габаритные размеры ячейки: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высота, мм, не более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ширина, мм, не более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глубина по габариту, мм, не более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глубина по основанию, мм, не более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ZPM_RAZMER_GABARIT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798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Расположение отсека сборных шин, (верхнее, нижнее)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Верхнее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дверей кабельного отсека, (да/ нет).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6.13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Блокировки замками в соответствии с ПУЭ (механические и/или электромагнитные), (да/ нет).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6.14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Стальные стенки корпуса и внутренних перегородок отсеков толщиной не менее 2 мм, с антикоррозионным покрытием, (да/нет)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6.15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Заземлитель со встроенным пружинным приводом на включение, (да/нет)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bCs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6.16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дверей в отсеке выдвижного элемента камеры, (да/нет)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6.17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механической индикации положения ВЭ (выкатного элемента) и ЗН (заземлителя), (да/нет)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6.18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металлических перегородок между отсеками, (да/нет)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6.19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проходных изоляторов в отсеке выкатного элемента, (да/нет)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6.20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Установка ТТНП внутри (КСО, КРУ, КРУЭ), (да/нет)*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 – только для обслуживаемых КТП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6.21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Выдвижной элемент высоковольтного отсека, (да/нет)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6.22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ZPM_PERIOD_PROVED_TO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7. Трансформаторы тока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Заводской тип (марка)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ZPM_TIP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Изготовитель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ZPM_ZAVOD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7.3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Тип изоляции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ZPM_VID_IZOLYAC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7.4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Номинальное напряжение, кВ 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0,66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ZPM_U_NOM_KV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7.5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Наибольшее рабочее напряжение, кВ 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0,72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ZPM_U_RAB_MAX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7.6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Номинальная частота, Гц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ZPM_F_NOM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7.7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7.8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Ток термической стойкости, кА,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ZPM_I_TERM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7.9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Время протекания тока термической стойкости, с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ZPM_TIME_I_TERM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7.10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Ток электродинамической стойкости, кА,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ZPM_I_DIN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Номинальный первичный ток, А и кол-во</w:t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ввод ВН</w:t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ввод НН</w:t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отходящие линии (при наличии)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14,4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361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ZPM_I_PERV_NOM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Номинальный вторичный ток, 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ZPM_I_VTOR_NOM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7.13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Количество вторичных обмоток, не менее, шт.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ZPM_KOL_OBMOT_VTOR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7.14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Класс точности, для целей учета, не хуже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0,5S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ZPM_KLASS_TOCHN_SIMV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7.15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Номинальная нагрузка, ВА,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7.16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Номинальная предельная кратность вторичной обмотки для защиты,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10%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ZPM_NOM_KRAT_VTOR_OBM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7.17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Коэффициент безопасности приборов обмотки для измерений,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10%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7.18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7.19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свидетельства о первичной поверке средств измерений,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7.20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Межповерочный интервал не менее 8 лет,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7.21.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ZPM_PERIOD_PROVED_TO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8. Параметры РУНН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Производитель / тип коммутационного аппарата ввода НН 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Номинальный ток, 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600-1000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ZPM_I_NOM_A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8.3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Коммутационные аппараты отходящих линий и количество, шт.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8.4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переходных шинок для крепления двух кабелей 0,4 кВ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8.5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АВР НН двухтрансформаторной ТП,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8.6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Номинальный ток сборных шин, не менее, А: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- 250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  <w:sz w:val="18"/>
                <w:szCs w:val="18"/>
              </w:rPr>
              <w:t xml:space="preserve">400</w:t>
            </w:r>
            <w:r>
              <w:rPr>
                <w:rFonts w:ascii="Tinos" w:hAnsi="Tinos" w:cs="Tinos"/>
                <w:bCs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ZPM_I_SHIN_SBOR_NOM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9. Параметры силового трансформатора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9.1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Трансформатор масляный герметичный, (да, нет)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9.2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Тип (марка) / Производитель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ТМГ/*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ZPM_TIP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9.3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Номинальное напряжение ВН/НН, кВ/кВ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10/0,4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ZPM_U_VN_NOM</w:t>
            </w: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br/>
              <w:t xml:space="preserve">ZPM_U_NN_NOM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9.4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Номинальная мощность, кВА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250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9.5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Количество силовых трансформаторов, шт.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9.6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Ступени и диапазон регулирования ПБВ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±2*2,5%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9.7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Схема и группа соединений обмоток трансформатора: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/</w:t>
            </w:r>
            <w:r>
              <w:rPr>
                <w:rFonts w:ascii="Tinos" w:hAnsi="Tinos" w:eastAsia="Tinos" w:cs="Tinos"/>
                <w:i/>
                <w:sz w:val="18"/>
                <w:szCs w:val="18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18"/>
                <w:szCs w:val="18"/>
                <w:vertAlign w:val="subscript"/>
              </w:rPr>
              <w:t xml:space="preserve">н </w:t>
            </w: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– при несимметричной нагрузке и мощности до 250 кВА;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i/>
                <w:vertAlign w:val="subscript"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  <w:lang w:val="en-US"/>
              </w:rPr>
              <w:t xml:space="preserve">Y</w:t>
            </w: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/</w:t>
            </w:r>
            <w:r>
              <w:rPr>
                <w:rFonts w:ascii="Tinos" w:hAnsi="Tinos" w:eastAsia="Tinos" w:cs="Tinos"/>
                <w:i/>
                <w:sz w:val="18"/>
                <w:szCs w:val="18"/>
                <w:lang w:val="en-US"/>
              </w:rPr>
              <w:t xml:space="preserve">Z</w:t>
            </w:r>
            <w:r>
              <w:rPr>
                <w:rFonts w:ascii="Tinos" w:hAnsi="Tinos" w:eastAsia="Tinos" w:cs="Tinos"/>
                <w:i/>
                <w:sz w:val="18"/>
                <w:szCs w:val="18"/>
                <w:vertAlign w:val="subscript"/>
              </w:rPr>
              <w:t xml:space="preserve">н</w:t>
            </w: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-11</w:t>
            </w:r>
            <w:r>
              <w:rPr>
                <w:rFonts w:ascii="Tinos" w:hAnsi="Tinos" w:cs="Tinos"/>
                <w:i/>
                <w:vertAlign w:val="subscript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ZPM_SHEM_GR_SOED_OBMOT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9.8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 </w:t>
            </w: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- 250 кВА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2955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9.9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  <w:i/>
              </w:rPr>
              <w:outlineLvl w:val="3"/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- 250 кВА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  <w:outlineLvl w:val="3"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425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ZPM_P_HH_VT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9.10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ZPM_SROK_SLUZBY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9.11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Гарантийный срок момента ввода в эксплуатацию, лет,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9.12.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Периодичность и объем технического обслуживания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ZPM_PERIOD_PROVED_TO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9.13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nos" w:hAnsi="Tinos" w:cs="Tinos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 латунными (медными) гайками и шайбами (по 2 шт.)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71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10.</w:t>
            </w:r>
            <w:r>
              <w:rPr>
                <w:rFonts w:ascii="Tinos" w:hAnsi="Tinos" w:eastAsia="Tinos" w:cs="Tinos"/>
                <w:b/>
                <w:sz w:val="18"/>
                <w:szCs w:val="18"/>
              </w:rPr>
              <w:tab/>
              <w:t xml:space="preserve">Учет электроэнергии (требования согласно СТО 34.01-5.1-009-2021 «Приборы учета электроэнергии. Общие технические требования», с 01.07.2025 - требования согласно СТО 34.01-5.1-009-2024)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10.1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Тип прибора учета электроэнергии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Трехфазный прибор учета электроэнергии непосредственного и трансформаторного включения (однофазный прибор - для фидера наружного освещения), соответствующие СТО 34.01-5.1-009-2021(с 01.07.2025 - СТО 34.01-5.1-009-2024)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  <w:highlight w:val="magenta"/>
              </w:rPr>
            </w:pPr>
            <w:r>
              <w:rPr>
                <w:rFonts w:ascii="Tinos" w:hAnsi="Tinos" w:cs="Tinos"/>
                <w:highlight w:val="magenta"/>
              </w:rPr>
            </w:r>
            <w:r>
              <w:rPr>
                <w:rFonts w:ascii="Tinos" w:hAnsi="Tinos" w:cs="Tinos"/>
                <w:highlight w:val="magent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ZPM_TIP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10.2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Расположение прибора учета электроэнергии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highlight w:val="yellow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  <w:highlight w:val="magenta"/>
              </w:rPr>
            </w:pPr>
            <w:r>
              <w:rPr>
                <w:rFonts w:ascii="Tinos" w:hAnsi="Tinos" w:cs="Tinos"/>
                <w:highlight w:val="magenta"/>
              </w:rPr>
            </w:r>
            <w:r>
              <w:rPr>
                <w:rFonts w:ascii="Tinos" w:hAnsi="Tinos" w:cs="Tinos"/>
                <w:highlight w:val="magent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10.3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Прибор учета электроэнергии: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на присоединении, отходящем на наружное освещение (при его наличии), (да, нет)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на всех отходящих присоединениях,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</w:rPr>
            </w:r>
          </w:p>
          <w:p>
            <w:pPr>
              <w:keepNext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i/>
                <w:highlight w:val="yellow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  <w:highlight w:val="yellow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ZPM_SCHETCHIK</w:t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10.4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Коробка испытательная переходная, шт.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10.5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Класс точности (акт. / реакт.), не хуже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05"/>
              <w:jc w:val="center"/>
              <w:spacing w:before="0" w:after="0" w:line="17" w:lineRule="atLeast"/>
              <w:rPr>
                <w:rFonts w:ascii="Tinos" w:hAnsi="Tinos" w:cs="Tinos"/>
              </w:rPr>
              <w:pBdr>
                <w:left w:val="single" w:color="000000" w:sz="6" w:space="0"/>
              </w:pBd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 соответствии с СТО 34.01-5.1-009-2021 (с 01.07.2025 - СТО 34.01-5.1-009-2024)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ZPM_KLASS_TOCHN_SIMV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10.6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Напряжение питания прибора учета электроэнергии, В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 соответствии с СТО 34.01-5.1-009-2021 (с 01.07.2025 - СТО 34.01-5.1-009-2024)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10.7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Учет собственных нужд,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 соответствии с СТО 34.01-5.1-009-2021 (с 01.07.2025 - СТО 34.01-5.1-009-2024)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10.8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резервного блока питания прибора учета электроэнергии от источника питания от сети ~220 В,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 соответствии с СТО 34.01-5.1-009-2021 (с 01.07.2025 - СТО 34.01-5.1-009-2024)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10.9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Количество интерфейсов RS-485,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11. Требования к ОПС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11.1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Обеспечение ОПС: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отдельным прибором, (да, нет);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охранно-пожарными датчиками типа «сухой контакт», (да, нет);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пожарными датчиками дыма, (да, нет);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(Установка отдельного прибора обосновывается технико-экономическими расчетами)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i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i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12. Комплектность поставки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12.1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Трансформаторы силовые,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12.2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РУ ВН в полной комплектации,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12.3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РУ НН в полной комплектации,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Комплект ОПН ВН на основе оксидно-цинковых варисторов,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12.5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Блочно-модульное здание, (да, нет)\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1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12.6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Запасные части и принадлежности (ЗИП), (да, нет)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(состав ЗИП определяется производителем)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12.7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Технический паспорт, Российские сертификаты (декларации) соответствия, протоколы испытаний, указ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анные в сертификате (декларации),  документация по монтажу, наладке и эксплуатации на русском языке, сертификаты (декларации) соответствия основных комплектующих оборудования, документальное подтверждение производителем срока службы и гарантии, кол-во экз.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12.8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pStyle w:val="1005"/>
              <w:spacing w:before="0"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12.9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pStyle w:val="1005"/>
              <w:spacing w:before="0"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Комплект наконечников для опрессовки СИП </w:t>
            </w: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(для СТП при необходимости),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1005"/>
              <w:jc w:val="center"/>
              <w:spacing w:before="0" w:after="0" w:line="17" w:lineRule="atLeast"/>
              <w:shd w:val="clear" w:color="ffffff" w:themeColor="background1" w:fill="ffffff" w:themeFill="background1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shd w:val="clear" w:color="ffffff" w:themeColor="background1" w:fill="ffffff" w:themeFill="background1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13. Требования по надежности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13.1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13.2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ZPM_SROK_SLUZBY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13.3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 до среднего ремонта, лет,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bCs/>
                <w:i/>
              </w:rPr>
            </w:pPr>
            <w:r>
              <w:rPr>
                <w:rFonts w:ascii="Tinos" w:hAnsi="Tinos" w:eastAsia="Tinos" w:cs="Tinos"/>
                <w:bCs/>
                <w:i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14. Требования по безопасности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14.1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14.2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российских сертификатов (деклараций) безопасности на комплектующие КТП,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15. Требования по сертификации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15.1</w:t>
            </w:r>
            <w:r>
              <w:rPr>
                <w:rFonts w:ascii="Tinos" w:hAnsi="Tinos" w:cs="Tinos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поверке,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(да, нет, указать номер и дату документа)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pStyle w:val="1005"/>
              <w:jc w:val="center"/>
              <w:spacing w:before="0"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Да, указать номер и дату документа</w:t>
            </w:r>
            <w:r>
              <w:rPr>
                <w:rFonts w:ascii="Tinos" w:hAnsi="Tinos" w:cs="Tinos"/>
                <w:i/>
              </w:rPr>
            </w:r>
          </w:p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16. Маркировка, упаковка, транспортировка, условия хранения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16.1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16.2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Условия транспортирования (авто или ж/д транспорт)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16.3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16.4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16.5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16.6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17" w:lineRule="atLeast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17. Дополнительные требования для КТП киоскового исполнения: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after="0" w:line="17" w:lineRule="atLeast"/>
              <w:widowControl w:val="off"/>
              <w:rPr>
                <w:rFonts w:ascii="Tinos" w:hAnsi="Tinos" w:cs="Tinos"/>
                <w:b/>
                <w:i/>
              </w:rPr>
            </w:pPr>
            <w:r>
              <w:rPr>
                <w:rFonts w:ascii="Tinos" w:hAnsi="Tinos" w:cs="Tinos"/>
                <w:b/>
                <w:i/>
              </w:rPr>
            </w:r>
            <w:r>
              <w:rPr>
                <w:rFonts w:ascii="Tinos" w:hAnsi="Tinos" w:cs="Tinos"/>
                <w:b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17.1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заземляющих ножей на разъединителе/выключателя нагрузки ВН, привода основных и заземляющих ножей,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17.2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 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17.3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блокировки (в соответствии с действующими требованиями НТД) от включения выключателя нагрузки ВН при включенных заземляющих ножах и от включения заземляющих ножей при включенном выключателе нагрузки,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17.4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блокировки между сетчатым ограждением УВН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(отсек предохранителей ВН и силового трансформатора) и заземляющими ножами и разъединителя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е при открытом сетчатом ограждении отсека (блокировка состоит из двух механических одноключевых блок-замков секрета А2, установленных на приводе заземляющих ножей разъединителя (выключателя нагрузки) ВН и на раме сетчатого ограждения отсека УВН),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17.5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Габариты КТП должны позволять установку силового трансформатора следующего номинала по мощности,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17.6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Конструкция КТП должна обеспечивать возможность замены силового трансформатора без демонтажа РУНН,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17.7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eastAsia="Tinos" w:cs="Tinos"/>
                <w:i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17.8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17.9</w:t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Прибор учета электрической энергии фидера уличного освещения должен располагаться так, чтобы была возможность снятия показаний без открывания дверей КТП,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highlight w:val="yellow"/>
              </w:rPr>
            </w:pPr>
            <w:r>
              <w:rPr>
                <w:rFonts w:ascii="Tinos" w:hAnsi="Tinos" w:cs="Tinos"/>
                <w:highlight w:val="yellow"/>
              </w:rPr>
            </w:r>
            <w:r>
              <w:rPr>
                <w:rFonts w:ascii="Tinos" w:hAnsi="Tinos" w:cs="Tinos"/>
                <w:highlight w:val="yellow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highlight w:val="yellow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Нет</w:t>
            </w:r>
            <w:r>
              <w:rPr>
                <w:rFonts w:ascii="Tinos" w:hAnsi="Tinos" w:cs="Tinos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17.10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ind w:left="94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у производителя оформленных альбомов типовых технических решений по монтажу КТП,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17.11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ind w:left="94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Исполнение вводов ВН – НН, (да, нет):</w:t>
            </w:r>
            <w:r>
              <w:rPr>
                <w:rFonts w:ascii="Tinos" w:hAnsi="Tinos" w:cs="Tinos"/>
              </w:rPr>
            </w:r>
          </w:p>
          <w:p>
            <w:pPr>
              <w:ind w:left="94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 воздух (ВЛЗ 6 (10) кВ) - воздух (НН СИП 0,4 кВ);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          Да</w:t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i/>
              </w:rPr>
            </w:pPr>
            <w:r>
              <w:rPr>
                <w:rFonts w:ascii="Tinos" w:hAnsi="Tinos" w:cs="Tinos"/>
                <w:i/>
              </w:rPr>
            </w:r>
            <w:r>
              <w:rPr>
                <w:rFonts w:ascii="Tinos" w:hAnsi="Tinos" w:cs="Tinos"/>
                <w:i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17.12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Использование приборов учета в качестве измерительных приборов вольтметр на 3 фазы, амперметр в каждой фазе, (да, нет)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            Да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17.13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Номинальный ток коммутационного аппарата, 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          400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17.14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Автоматические выключатели отходящих линий: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 – количество, шт./Т – тип/Iн – номинальный ток, А/Iр – ток расцепителя, А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1/ВА/160/*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6" w:space="0"/>
              <w:right w:val="single" w:color="000000" w:sz="6" w:space="0"/>
            </w:tcBorders>
            <w:tcW w:w="521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1/ВА/100/*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6" w:space="0"/>
              <w:right w:val="single" w:color="000000" w:sz="6" w:space="0"/>
            </w:tcBorders>
            <w:tcW w:w="521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17.15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смотровых окон на дверце шкафа РУНН/щита учета/шкафа АСКУЭ напротив мест крепления приборов учета электроэнергии,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 равное количеству отходящих линий РУНН плюс 1 (одно) окно для прибора учета электроэнергии на вводе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110×110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Приложение № 5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25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3"/>
        </w:numPr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3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3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3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3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3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решения о предоставлении обеспечения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</w:p>
    <w:p>
      <w:pPr>
        <w:pStyle w:val="1025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0"/>
                <w:szCs w:val="20"/>
              </w:rPr>
              <w:suppressLineNumbers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_____________________/ А.В. Лукин /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0"/>
                <w:szCs w:val="20"/>
              </w:rPr>
              <w:suppressLineNumbers/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0"/>
                <w:szCs w:val="20"/>
              </w:rPr>
              <w:suppressLineNumbers/>
            </w:pPr>
            <w:r>
              <w:rPr>
                <w:rFonts w:ascii="Tinos" w:hAnsi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0"/>
                <w:szCs w:val="20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_____________________/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 </w:t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____ /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М.П.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М.П.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«_____»_____________20___г.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«_____» _____________20___г.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0"/>
                <w:szCs w:val="20"/>
              </w:rPr>
              <w:suppressLineNumbers/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ind w:firstLine="709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20"/>
    </w:pPr>
    <w:r/>
    <w:r/>
  </w:p>
  <w:p>
    <w:pPr>
      <w:pStyle w:val="1020"/>
    </w:pPr>
    <w:r/>
    <w:r/>
  </w:p>
  <w:p>
    <w:pPr>
      <w:pStyle w:val="10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92"/>
        <w:jc w:val="both"/>
        <w:spacing w:before="0" w:after="0"/>
        <w:rPr>
          <w:i/>
        </w:rPr>
      </w:pPr>
      <w:r>
        <w:rPr>
          <w:rStyle w:val="1010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</w:p>
  </w:footnote>
  <w:footnote w:id="3">
    <w:p>
      <w:pPr>
        <w:pStyle w:val="1048"/>
        <w:spacing w:before="0" w:after="0"/>
        <w:tabs>
          <w:tab w:val="left" w:pos="-142" w:leader="none"/>
        </w:tabs>
        <w:rPr>
          <w:i/>
        </w:rPr>
      </w:pPr>
      <w:r>
        <w:rPr>
          <w:rStyle w:val="1049"/>
        </w:rPr>
        <w:footnoteRef/>
      </w:r>
      <w:r>
        <w:rPr>
          <w:rStyle w:val="1049"/>
        </w:rPr>
        <w:t xml:space="preserve"> </w:t>
      </w:r>
      <w:r>
        <w:rPr>
          <w:i/>
        </w:rPr>
        <w:t xml:space="preserve">Включается, если договором предусмотрено обеспечение в форме независимой гарантии.</w:t>
      </w:r>
      <w:r>
        <w:rPr>
          <w:i/>
        </w:rPr>
      </w:r>
    </w:p>
  </w:footnote>
  <w:footnote w:id="4">
    <w:p>
      <w:pPr>
        <w:pStyle w:val="992"/>
      </w:pPr>
      <w:r>
        <w:rPr>
          <w:rStyle w:val="1010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</w:t>
      </w:r>
      <w:r>
        <w:rPr>
          <w:i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992"/>
      </w:pPr>
      <w:r>
        <w:rPr>
          <w:rStyle w:val="1010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/>
    </w:p>
  </w:footnote>
  <w:footnote w:id="6">
    <w:p>
      <w:pPr>
        <w:pStyle w:val="992"/>
      </w:pPr>
      <w:r>
        <w:rPr>
          <w:rStyle w:val="1010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7">
    <w:p>
      <w:pPr>
        <w:pStyle w:val="992"/>
      </w:pPr>
      <w:r>
        <w:rPr>
          <w:rStyle w:val="1010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1006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07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08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3">
    <w:multiLevelType w:val="hybridMultilevel"/>
    <w:styleLink w:val="1011"/>
    <w:lvl w:ilvl="0">
      <w:start w:val="2"/>
      <w:numFmt w:val="decimal"/>
      <w:pStyle w:val="101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850" w:hanging="85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0"/>
  </w:num>
  <w:num w:numId="6">
    <w:abstractNumId w:val="26"/>
  </w:num>
  <w:num w:numId="7">
    <w:abstractNumId w:val="25"/>
  </w:num>
  <w:num w:numId="8">
    <w:abstractNumId w:val="6"/>
  </w:num>
  <w:num w:numId="9">
    <w:abstractNumId w:val="0"/>
  </w:num>
  <w:num w:numId="10">
    <w:abstractNumId w:val="22"/>
  </w:num>
  <w:num w:numId="11">
    <w:abstractNumId w:val="29"/>
  </w:num>
  <w:num w:numId="12">
    <w:abstractNumId w:val="27"/>
  </w:num>
  <w:num w:numId="13">
    <w:abstractNumId w:val="5"/>
  </w:num>
  <w:num w:numId="14">
    <w:abstractNumId w:val="20"/>
  </w:num>
  <w:num w:numId="15">
    <w:abstractNumId w:val="23"/>
  </w:num>
  <w:num w:numId="16">
    <w:abstractNumId w:val="21"/>
  </w:num>
  <w:num w:numId="17">
    <w:abstractNumId w:val="13"/>
  </w:num>
  <w:num w:numId="18">
    <w:abstractNumId w:val="4"/>
  </w:num>
  <w:num w:numId="19">
    <w:abstractNumId w:val="15"/>
  </w:num>
  <w:num w:numId="20">
    <w:abstractNumId w:val="17"/>
  </w:num>
  <w:num w:numId="21">
    <w:abstractNumId w:val="18"/>
  </w:num>
  <w:num w:numId="22">
    <w:abstractNumId w:val="8"/>
  </w:num>
  <w:num w:numId="23">
    <w:abstractNumId w:val="16"/>
  </w:num>
  <w:num w:numId="24">
    <w:abstractNumId w:val="12"/>
  </w:num>
  <w:num w:numId="25">
    <w:abstractNumId w:val="14"/>
  </w:num>
  <w:num w:numId="26">
    <w:abstractNumId w:val="28"/>
  </w:num>
  <w:num w:numId="27">
    <w:abstractNumId w:val="11"/>
  </w:num>
  <w:num w:numId="28">
    <w:abstractNumId w:val="24"/>
  </w:num>
  <w:num w:numId="29">
    <w:abstractNumId w:val="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1" w:default="1">
    <w:name w:val="Normal"/>
    <w:qFormat/>
  </w:style>
  <w:style w:type="paragraph" w:styleId="812">
    <w:name w:val="Heading 1"/>
    <w:basedOn w:val="811"/>
    <w:next w:val="811"/>
    <w:link w:val="1012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13">
    <w:name w:val="Heading 2"/>
    <w:basedOn w:val="811"/>
    <w:next w:val="811"/>
    <w:link w:val="83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14">
    <w:name w:val="Heading 3"/>
    <w:basedOn w:val="811"/>
    <w:next w:val="811"/>
    <w:link w:val="1013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15">
    <w:name w:val="Heading 4"/>
    <w:basedOn w:val="811"/>
    <w:next w:val="811"/>
    <w:link w:val="83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6">
    <w:name w:val="Heading 5"/>
    <w:basedOn w:val="811"/>
    <w:next w:val="811"/>
    <w:link w:val="83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7">
    <w:name w:val="Heading 6"/>
    <w:basedOn w:val="811"/>
    <w:next w:val="811"/>
    <w:link w:val="83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18">
    <w:name w:val="Heading 7"/>
    <w:basedOn w:val="811"/>
    <w:next w:val="811"/>
    <w:link w:val="84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19">
    <w:name w:val="Heading 8"/>
    <w:basedOn w:val="811"/>
    <w:next w:val="811"/>
    <w:link w:val="8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20">
    <w:name w:val="Heading 9"/>
    <w:basedOn w:val="811"/>
    <w:next w:val="811"/>
    <w:link w:val="8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character" w:styleId="824" w:customStyle="1">
    <w:name w:val="Heading 2 Char"/>
    <w:basedOn w:val="821"/>
    <w:uiPriority w:val="9"/>
    <w:rPr>
      <w:rFonts w:ascii="Arial" w:hAnsi="Arial" w:eastAsia="Arial" w:cs="Arial"/>
      <w:sz w:val="34"/>
    </w:rPr>
  </w:style>
  <w:style w:type="character" w:styleId="825" w:customStyle="1">
    <w:name w:val="Heading 4 Char"/>
    <w:basedOn w:val="821"/>
    <w:uiPriority w:val="9"/>
    <w:rPr>
      <w:rFonts w:ascii="Arial" w:hAnsi="Arial" w:eastAsia="Arial" w:cs="Arial"/>
      <w:b/>
      <w:bCs/>
      <w:sz w:val="26"/>
      <w:szCs w:val="26"/>
    </w:rPr>
  </w:style>
  <w:style w:type="character" w:styleId="826" w:customStyle="1">
    <w:name w:val="Heading 5 Char"/>
    <w:basedOn w:val="821"/>
    <w:uiPriority w:val="9"/>
    <w:rPr>
      <w:rFonts w:ascii="Arial" w:hAnsi="Arial" w:eastAsia="Arial" w:cs="Arial"/>
      <w:b/>
      <w:bCs/>
      <w:sz w:val="24"/>
      <w:szCs w:val="24"/>
    </w:rPr>
  </w:style>
  <w:style w:type="character" w:styleId="827" w:customStyle="1">
    <w:name w:val="Heading 6 Char"/>
    <w:basedOn w:val="821"/>
    <w:uiPriority w:val="9"/>
    <w:rPr>
      <w:rFonts w:ascii="Arial" w:hAnsi="Arial" w:eastAsia="Arial" w:cs="Arial"/>
      <w:b/>
      <w:bCs/>
      <w:sz w:val="22"/>
      <w:szCs w:val="22"/>
    </w:rPr>
  </w:style>
  <w:style w:type="character" w:styleId="828" w:customStyle="1">
    <w:name w:val="Heading 7 Char"/>
    <w:basedOn w:val="8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9" w:customStyle="1">
    <w:name w:val="Heading 8 Char"/>
    <w:basedOn w:val="821"/>
    <w:uiPriority w:val="9"/>
    <w:rPr>
      <w:rFonts w:ascii="Arial" w:hAnsi="Arial" w:eastAsia="Arial" w:cs="Arial"/>
      <w:i/>
      <w:iCs/>
      <w:sz w:val="22"/>
      <w:szCs w:val="22"/>
    </w:rPr>
  </w:style>
  <w:style w:type="character" w:styleId="830" w:customStyle="1">
    <w:name w:val="Heading 9 Char"/>
    <w:basedOn w:val="821"/>
    <w:uiPriority w:val="9"/>
    <w:rPr>
      <w:rFonts w:ascii="Arial" w:hAnsi="Arial" w:eastAsia="Arial" w:cs="Arial"/>
      <w:i/>
      <w:iCs/>
      <w:sz w:val="21"/>
      <w:szCs w:val="21"/>
    </w:rPr>
  </w:style>
  <w:style w:type="character" w:styleId="831" w:customStyle="1">
    <w:name w:val="Subtitle Char"/>
    <w:basedOn w:val="821"/>
    <w:uiPriority w:val="11"/>
    <w:rPr>
      <w:sz w:val="24"/>
      <w:szCs w:val="24"/>
    </w:rPr>
  </w:style>
  <w:style w:type="character" w:styleId="832" w:customStyle="1">
    <w:name w:val="Quote Char"/>
    <w:uiPriority w:val="29"/>
    <w:rPr>
      <w:i/>
    </w:rPr>
  </w:style>
  <w:style w:type="character" w:styleId="833" w:customStyle="1">
    <w:name w:val="Intense Quote Char"/>
    <w:uiPriority w:val="30"/>
    <w:rPr>
      <w:i/>
    </w:rPr>
  </w:style>
  <w:style w:type="character" w:styleId="834" w:customStyle="1">
    <w:name w:val="Heading 1 Char"/>
    <w:basedOn w:val="821"/>
    <w:uiPriority w:val="9"/>
    <w:rPr>
      <w:rFonts w:ascii="Arial" w:hAnsi="Arial" w:eastAsia="Arial" w:cs="Arial"/>
      <w:sz w:val="40"/>
      <w:szCs w:val="40"/>
    </w:rPr>
  </w:style>
  <w:style w:type="character" w:styleId="835" w:customStyle="1">
    <w:name w:val="Заголовок 2 Знак"/>
    <w:basedOn w:val="821"/>
    <w:link w:val="813"/>
    <w:uiPriority w:val="9"/>
    <w:rPr>
      <w:rFonts w:ascii="Arial" w:hAnsi="Arial" w:eastAsia="Arial" w:cs="Arial"/>
      <w:sz w:val="34"/>
    </w:rPr>
  </w:style>
  <w:style w:type="character" w:styleId="836" w:customStyle="1">
    <w:name w:val="Heading 3 Char"/>
    <w:basedOn w:val="821"/>
    <w:uiPriority w:val="9"/>
    <w:rPr>
      <w:rFonts w:ascii="Arial" w:hAnsi="Arial" w:eastAsia="Arial" w:cs="Arial"/>
      <w:sz w:val="30"/>
      <w:szCs w:val="30"/>
    </w:rPr>
  </w:style>
  <w:style w:type="character" w:styleId="837" w:customStyle="1">
    <w:name w:val="Заголовок 4 Знак"/>
    <w:basedOn w:val="821"/>
    <w:link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38" w:customStyle="1">
    <w:name w:val="Заголовок 5 Знак"/>
    <w:basedOn w:val="821"/>
    <w:link w:val="816"/>
    <w:uiPriority w:val="9"/>
    <w:rPr>
      <w:rFonts w:ascii="Arial" w:hAnsi="Arial" w:eastAsia="Arial" w:cs="Arial"/>
      <w:b/>
      <w:bCs/>
      <w:sz w:val="24"/>
      <w:szCs w:val="24"/>
    </w:rPr>
  </w:style>
  <w:style w:type="character" w:styleId="839" w:customStyle="1">
    <w:name w:val="Заголовок 6 Знак"/>
    <w:basedOn w:val="821"/>
    <w:link w:val="817"/>
    <w:uiPriority w:val="9"/>
    <w:rPr>
      <w:rFonts w:ascii="Arial" w:hAnsi="Arial" w:eastAsia="Arial" w:cs="Arial"/>
      <w:b/>
      <w:bCs/>
      <w:sz w:val="22"/>
      <w:szCs w:val="22"/>
    </w:rPr>
  </w:style>
  <w:style w:type="character" w:styleId="840" w:customStyle="1">
    <w:name w:val="Заголовок 7 Знак"/>
    <w:basedOn w:val="821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1" w:customStyle="1">
    <w:name w:val="Заголовок 8 Знак"/>
    <w:basedOn w:val="821"/>
    <w:link w:val="819"/>
    <w:uiPriority w:val="9"/>
    <w:rPr>
      <w:rFonts w:ascii="Arial" w:hAnsi="Arial" w:eastAsia="Arial" w:cs="Arial"/>
      <w:i/>
      <w:iCs/>
      <w:sz w:val="22"/>
      <w:szCs w:val="22"/>
    </w:rPr>
  </w:style>
  <w:style w:type="character" w:styleId="842" w:customStyle="1">
    <w:name w:val="Заголовок 9 Знак"/>
    <w:basedOn w:val="821"/>
    <w:link w:val="820"/>
    <w:uiPriority w:val="9"/>
    <w:rPr>
      <w:rFonts w:ascii="Arial" w:hAnsi="Arial" w:eastAsia="Arial" w:cs="Arial"/>
      <w:i/>
      <w:iCs/>
      <w:sz w:val="21"/>
      <w:szCs w:val="21"/>
    </w:rPr>
  </w:style>
  <w:style w:type="character" w:styleId="843" w:customStyle="1">
    <w:name w:val="Title Char"/>
    <w:basedOn w:val="821"/>
    <w:uiPriority w:val="10"/>
    <w:rPr>
      <w:sz w:val="48"/>
      <w:szCs w:val="48"/>
    </w:rPr>
  </w:style>
  <w:style w:type="paragraph" w:styleId="844">
    <w:name w:val="Subtitle"/>
    <w:basedOn w:val="811"/>
    <w:next w:val="811"/>
    <w:link w:val="845"/>
    <w:uiPriority w:val="11"/>
    <w:qFormat/>
    <w:pPr>
      <w:spacing w:before="200"/>
    </w:pPr>
    <w:rPr>
      <w:sz w:val="24"/>
      <w:szCs w:val="24"/>
    </w:rPr>
  </w:style>
  <w:style w:type="character" w:styleId="845" w:customStyle="1">
    <w:name w:val="Подзаголовок Знак"/>
    <w:basedOn w:val="821"/>
    <w:link w:val="844"/>
    <w:uiPriority w:val="11"/>
    <w:rPr>
      <w:sz w:val="24"/>
      <w:szCs w:val="24"/>
    </w:rPr>
  </w:style>
  <w:style w:type="paragraph" w:styleId="846">
    <w:name w:val="Quote"/>
    <w:basedOn w:val="811"/>
    <w:next w:val="811"/>
    <w:link w:val="847"/>
    <w:uiPriority w:val="29"/>
    <w:qFormat/>
    <w:pPr>
      <w:ind w:left="720" w:right="720"/>
    </w:pPr>
    <w:rPr>
      <w:i/>
    </w:rPr>
  </w:style>
  <w:style w:type="character" w:styleId="847" w:customStyle="1">
    <w:name w:val="Цитата 2 Знак"/>
    <w:link w:val="846"/>
    <w:uiPriority w:val="29"/>
    <w:rPr>
      <w:i/>
    </w:rPr>
  </w:style>
  <w:style w:type="paragraph" w:styleId="848">
    <w:name w:val="Intense Quote"/>
    <w:basedOn w:val="811"/>
    <w:next w:val="811"/>
    <w:link w:val="8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 w:customStyle="1">
    <w:name w:val="Выделенная цитата Знак"/>
    <w:link w:val="848"/>
    <w:uiPriority w:val="30"/>
    <w:rPr>
      <w:i/>
    </w:rPr>
  </w:style>
  <w:style w:type="character" w:styleId="850" w:customStyle="1">
    <w:name w:val="Header Char"/>
    <w:basedOn w:val="821"/>
    <w:uiPriority w:val="99"/>
  </w:style>
  <w:style w:type="character" w:styleId="851" w:customStyle="1">
    <w:name w:val="Footer Char"/>
    <w:basedOn w:val="821"/>
    <w:uiPriority w:val="99"/>
  </w:style>
  <w:style w:type="paragraph" w:styleId="852">
    <w:name w:val="Caption"/>
    <w:basedOn w:val="811"/>
    <w:next w:val="81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53" w:customStyle="1">
    <w:name w:val="Caption Char"/>
    <w:uiPriority w:val="99"/>
  </w:style>
  <w:style w:type="table" w:styleId="854" w:customStyle="1">
    <w:name w:val="Table Grid Light"/>
    <w:basedOn w:val="82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5">
    <w:name w:val="Plain Table 1"/>
    <w:basedOn w:val="82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2"/>
    <w:basedOn w:val="82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7">
    <w:name w:val="Plain Table 3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8">
    <w:name w:val="Plain Table 4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Plain Table 5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0">
    <w:name w:val="Grid Table 1 Light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Grid Table 1 Light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Grid Table 1 Light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Grid Table 1 Light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2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2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2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3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3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4"/>
    <w:basedOn w:val="8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2" w:customStyle="1">
    <w:name w:val="Grid Table 4 - Accent 1"/>
    <w:basedOn w:val="8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3" w:customStyle="1">
    <w:name w:val="Grid Table 4 - Accent 2"/>
    <w:basedOn w:val="8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4" w:customStyle="1">
    <w:name w:val="Grid Table 4 - Accent 3"/>
    <w:basedOn w:val="8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85" w:customStyle="1">
    <w:name w:val="Grid Table 4 - Accent 4"/>
    <w:basedOn w:val="8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86" w:customStyle="1">
    <w:name w:val="Grid Table 4 - Accent 5"/>
    <w:basedOn w:val="8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87" w:customStyle="1">
    <w:name w:val="Grid Table 4 - Accent 6"/>
    <w:basedOn w:val="8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8">
    <w:name w:val="Grid Table 5 Dark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1" w:customStyle="1">
    <w:name w:val="Grid Table 5 Dark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2" w:customStyle="1">
    <w:name w:val="Grid Table 5 Dark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3" w:customStyle="1">
    <w:name w:val="Grid Table 5 Dark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95">
    <w:name w:val="Grid Table 6 Colorful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6" w:customStyle="1">
    <w:name w:val="Grid Table 6 Colorful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97" w:customStyle="1">
    <w:name w:val="Grid Table 6 Colorful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8" w:customStyle="1">
    <w:name w:val="Grid Table 6 Colorful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9" w:customStyle="1">
    <w:name w:val="Grid Table 6 Colorful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0" w:customStyle="1">
    <w:name w:val="Grid Table 6 Colorful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1" w:customStyle="1">
    <w:name w:val="Grid Table 6 Colorful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2">
    <w:name w:val="Grid Table 7 Colorful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7 Colorful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7 Colorful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7 Colorful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7 Colorful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7 Colorful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7 Colorful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1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2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1 Light - Accent 3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1 Light - Accent 4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1 Light - Accent 5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6"/>
    <w:basedOn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9" w:customStyle="1">
    <w:name w:val="List Table 2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0" w:customStyle="1">
    <w:name w:val="List Table 2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1" w:customStyle="1">
    <w:name w:val="List Table 2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3">
    <w:name w:val="List Table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3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3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3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4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4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5 Dark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 w:customStyle="1">
    <w:name w:val="List Table 5 Dark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1" w:customStyle="1">
    <w:name w:val="List Table 5 Dark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2" w:customStyle="1">
    <w:name w:val="List Table 5 Dark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3" w:customStyle="1">
    <w:name w:val="List Table 5 Dark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>
    <w:name w:val="List Table 6 Colorful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5" w:customStyle="1">
    <w:name w:val="List Table 6 Colorful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46" w:customStyle="1">
    <w:name w:val="List Table 6 Colorful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47" w:customStyle="1">
    <w:name w:val="List Table 6 Colorful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8" w:customStyle="1">
    <w:name w:val="List Table 6 Colorful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9" w:customStyle="1">
    <w:name w:val="List Table 6 Colorful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0" w:customStyle="1">
    <w:name w:val="List Table 6 Colorful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1">
    <w:name w:val="List Table 7 Colorful"/>
    <w:basedOn w:val="8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st Table 7 Colorful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List Table 7 Colorful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List Table 7 Colorful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st Table 7 Colorful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List Table 7 Colorful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7 Colorful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ned - Accent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9" w:customStyle="1">
    <w:name w:val="Lined - Accent 1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0" w:customStyle="1">
    <w:name w:val="Lined - Accent 2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1" w:customStyle="1">
    <w:name w:val="Lined - Accent 3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2" w:customStyle="1">
    <w:name w:val="Lined - Accent 4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3" w:customStyle="1">
    <w:name w:val="Lined - Accent 5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4" w:customStyle="1">
    <w:name w:val="Lined - Accent 6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5" w:customStyle="1">
    <w:name w:val="Bordered &amp; Lined - Accent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6" w:customStyle="1">
    <w:name w:val="Bordered &amp; Lined - Accent 1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7" w:customStyle="1">
    <w:name w:val="Bordered &amp; Lined - Accent 2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8" w:customStyle="1">
    <w:name w:val="Bordered &amp; Lined - Accent 3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9" w:customStyle="1">
    <w:name w:val="Bordered &amp; Lined - Accent 4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0" w:customStyle="1">
    <w:name w:val="Bordered &amp; Lined - Accent 5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1" w:customStyle="1">
    <w:name w:val="Bordered &amp; Lined - Accent 6"/>
    <w:basedOn w:val="82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2" w:customStyle="1">
    <w:name w:val="Bordered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3" w:customStyle="1">
    <w:name w:val="Bordered - Accent 1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4" w:customStyle="1">
    <w:name w:val="Bordered - Accent 2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75" w:customStyle="1">
    <w:name w:val="Bordered - Accent 3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76" w:customStyle="1">
    <w:name w:val="Bordered - Accent 4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77" w:customStyle="1">
    <w:name w:val="Bordered - Accent 5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8" w:customStyle="1">
    <w:name w:val="Bordered - Accent 6"/>
    <w:basedOn w:val="8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9" w:customStyle="1">
    <w:name w:val="Footnote Text Char"/>
    <w:uiPriority w:val="99"/>
    <w:rPr>
      <w:sz w:val="18"/>
    </w:rPr>
  </w:style>
  <w:style w:type="character" w:styleId="980" w:customStyle="1">
    <w:name w:val="Endnote Text Char"/>
    <w:uiPriority w:val="99"/>
    <w:rPr>
      <w:sz w:val="20"/>
    </w:rPr>
  </w:style>
  <w:style w:type="paragraph" w:styleId="981">
    <w:name w:val="toc 1"/>
    <w:basedOn w:val="811"/>
    <w:next w:val="811"/>
    <w:uiPriority w:val="39"/>
    <w:unhideWhenUsed/>
    <w:pPr>
      <w:spacing w:after="57"/>
    </w:pPr>
  </w:style>
  <w:style w:type="paragraph" w:styleId="982">
    <w:name w:val="toc 2"/>
    <w:basedOn w:val="811"/>
    <w:next w:val="811"/>
    <w:uiPriority w:val="39"/>
    <w:unhideWhenUsed/>
    <w:pPr>
      <w:ind w:left="283"/>
      <w:spacing w:after="57"/>
    </w:pPr>
  </w:style>
  <w:style w:type="paragraph" w:styleId="983">
    <w:name w:val="toc 3"/>
    <w:basedOn w:val="811"/>
    <w:next w:val="811"/>
    <w:uiPriority w:val="39"/>
    <w:unhideWhenUsed/>
    <w:pPr>
      <w:ind w:left="567"/>
      <w:spacing w:after="57"/>
    </w:pPr>
  </w:style>
  <w:style w:type="paragraph" w:styleId="984">
    <w:name w:val="toc 4"/>
    <w:basedOn w:val="811"/>
    <w:next w:val="811"/>
    <w:uiPriority w:val="39"/>
    <w:unhideWhenUsed/>
    <w:pPr>
      <w:ind w:left="850"/>
      <w:spacing w:after="57"/>
    </w:pPr>
  </w:style>
  <w:style w:type="paragraph" w:styleId="985">
    <w:name w:val="toc 5"/>
    <w:basedOn w:val="811"/>
    <w:next w:val="811"/>
    <w:uiPriority w:val="39"/>
    <w:unhideWhenUsed/>
    <w:pPr>
      <w:ind w:left="1134"/>
      <w:spacing w:after="57"/>
    </w:pPr>
  </w:style>
  <w:style w:type="paragraph" w:styleId="986">
    <w:name w:val="toc 6"/>
    <w:basedOn w:val="811"/>
    <w:next w:val="811"/>
    <w:uiPriority w:val="39"/>
    <w:unhideWhenUsed/>
    <w:pPr>
      <w:ind w:left="1417"/>
      <w:spacing w:after="57"/>
    </w:pPr>
  </w:style>
  <w:style w:type="paragraph" w:styleId="987">
    <w:name w:val="toc 7"/>
    <w:basedOn w:val="811"/>
    <w:next w:val="811"/>
    <w:uiPriority w:val="39"/>
    <w:unhideWhenUsed/>
    <w:pPr>
      <w:ind w:left="1701"/>
      <w:spacing w:after="57"/>
    </w:pPr>
  </w:style>
  <w:style w:type="paragraph" w:styleId="988">
    <w:name w:val="toc 8"/>
    <w:basedOn w:val="811"/>
    <w:next w:val="811"/>
    <w:uiPriority w:val="39"/>
    <w:unhideWhenUsed/>
    <w:pPr>
      <w:ind w:left="1984"/>
      <w:spacing w:after="57"/>
    </w:pPr>
  </w:style>
  <w:style w:type="paragraph" w:styleId="989">
    <w:name w:val="toc 9"/>
    <w:basedOn w:val="811"/>
    <w:next w:val="811"/>
    <w:uiPriority w:val="39"/>
    <w:unhideWhenUsed/>
    <w:pPr>
      <w:ind w:left="2268"/>
      <w:spacing w:after="57"/>
    </w:pPr>
  </w:style>
  <w:style w:type="paragraph" w:styleId="990">
    <w:name w:val="TOC Heading"/>
    <w:uiPriority w:val="39"/>
    <w:unhideWhenUsed/>
  </w:style>
  <w:style w:type="paragraph" w:styleId="991">
    <w:name w:val="table of figures"/>
    <w:basedOn w:val="811"/>
    <w:next w:val="811"/>
    <w:uiPriority w:val="99"/>
    <w:unhideWhenUsed/>
    <w:pPr>
      <w:spacing w:after="0"/>
    </w:pPr>
  </w:style>
  <w:style w:type="paragraph" w:styleId="992">
    <w:name w:val="footnote text"/>
    <w:basedOn w:val="811"/>
    <w:link w:val="993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93" w:customStyle="1">
    <w:name w:val="Текст сноски Знак"/>
    <w:basedOn w:val="821"/>
    <w:link w:val="992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994">
    <w:name w:val="Title"/>
    <w:basedOn w:val="811"/>
    <w:link w:val="995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95" w:customStyle="1">
    <w:name w:val="Заголовок Знак"/>
    <w:basedOn w:val="821"/>
    <w:link w:val="994"/>
    <w:rPr>
      <w:rFonts w:ascii="Times New Roman" w:hAnsi="Times New Roman" w:eastAsia="Times New Roman" w:cs="Times New Roman"/>
      <w:sz w:val="24"/>
      <w:szCs w:val="24"/>
    </w:rPr>
  </w:style>
  <w:style w:type="character" w:styleId="996" w:customStyle="1">
    <w:name w:val="Основной текст Знак"/>
    <w:basedOn w:val="821"/>
    <w:link w:val="997"/>
    <w:rPr>
      <w:rFonts w:ascii="Times New Roman" w:hAnsi="Times New Roman" w:eastAsia="Times New Roman" w:cs="Times New Roman"/>
      <w:sz w:val="28"/>
      <w:szCs w:val="28"/>
    </w:rPr>
  </w:style>
  <w:style w:type="paragraph" w:styleId="997">
    <w:name w:val="Body Text"/>
    <w:basedOn w:val="811"/>
    <w:link w:val="996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98" w:customStyle="1">
    <w:name w:val="Основной текст Знак1"/>
    <w:basedOn w:val="821"/>
    <w:uiPriority w:val="99"/>
    <w:semiHidden/>
  </w:style>
  <w:style w:type="paragraph" w:styleId="999">
    <w:name w:val="Body Text Indent"/>
    <w:basedOn w:val="811"/>
    <w:link w:val="1000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00" w:customStyle="1">
    <w:name w:val="Основной текст с отступом Знак"/>
    <w:basedOn w:val="821"/>
    <w:link w:val="999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01">
    <w:name w:val="Body Text 2"/>
    <w:basedOn w:val="811"/>
    <w:link w:val="1002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02" w:customStyle="1">
    <w:name w:val="Основной текст 2 Знак"/>
    <w:basedOn w:val="821"/>
    <w:link w:val="1001"/>
    <w:rPr>
      <w:rFonts w:ascii="Times New Roman" w:hAnsi="Times New Roman" w:eastAsia="Times New Roman" w:cs="Times New Roman"/>
      <w:sz w:val="28"/>
      <w:szCs w:val="28"/>
    </w:rPr>
  </w:style>
  <w:style w:type="paragraph" w:styleId="1003">
    <w:name w:val="Body Text 3"/>
    <w:basedOn w:val="811"/>
    <w:link w:val="1004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04" w:customStyle="1">
    <w:name w:val="Основной текст 3 Знак"/>
    <w:basedOn w:val="821"/>
    <w:link w:val="1003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05">
    <w:name w:val="No Spacing"/>
    <w:link w:val="1016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06" w:customStyle="1">
    <w:name w:val="МРСК_заголовок_1"/>
    <w:basedOn w:val="812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07" w:customStyle="1">
    <w:name w:val="МРСК_заголовок_2"/>
    <w:basedOn w:val="811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08" w:customStyle="1">
    <w:name w:val="МРСК_заголовок_3"/>
    <w:basedOn w:val="814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09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0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11" w:customStyle="1">
    <w:name w:val="Стиль22"/>
    <w:pPr>
      <w:numPr>
        <w:ilvl w:val="0"/>
        <w:numId w:val="17"/>
      </w:numPr>
    </w:pPr>
  </w:style>
  <w:style w:type="character" w:styleId="1012" w:customStyle="1">
    <w:name w:val="Заголовок 1 Знак"/>
    <w:basedOn w:val="821"/>
    <w:link w:val="81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13" w:customStyle="1">
    <w:name w:val="Заголовок 3 Знак"/>
    <w:basedOn w:val="821"/>
    <w:link w:val="814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14">
    <w:name w:val="Hyperlink"/>
    <w:basedOn w:val="821"/>
    <w:uiPriority w:val="99"/>
    <w:unhideWhenUsed/>
    <w:rPr>
      <w:color w:val="0000ff" w:themeColor="hyperlink"/>
      <w:u w:val="single"/>
    </w:rPr>
  </w:style>
  <w:style w:type="paragraph" w:styleId="1015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16" w:customStyle="1">
    <w:name w:val="Без интервала Знак"/>
    <w:link w:val="1005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7" w:customStyle="1">
    <w:name w:val="МРСК_таблица_текст"/>
    <w:basedOn w:val="811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18">
    <w:name w:val="Header"/>
    <w:basedOn w:val="811"/>
    <w:link w:val="101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19" w:customStyle="1">
    <w:name w:val="Верхний колонтитул Знак"/>
    <w:basedOn w:val="821"/>
    <w:link w:val="1018"/>
    <w:uiPriority w:val="99"/>
  </w:style>
  <w:style w:type="paragraph" w:styleId="1020">
    <w:name w:val="Footer"/>
    <w:basedOn w:val="811"/>
    <w:link w:val="10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21" w:customStyle="1">
    <w:name w:val="Нижний колонтитул Знак"/>
    <w:basedOn w:val="821"/>
    <w:link w:val="1020"/>
    <w:uiPriority w:val="99"/>
  </w:style>
  <w:style w:type="character" w:styleId="1022" w:customStyle="1">
    <w:name w:val="apple-converted-space"/>
    <w:basedOn w:val="821"/>
  </w:style>
  <w:style w:type="paragraph" w:styleId="1023">
    <w:name w:val="Normal (Web)"/>
    <w:basedOn w:val="81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24">
    <w:name w:val="Table Grid"/>
    <w:basedOn w:val="82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5">
    <w:name w:val="List Paragraph"/>
    <w:basedOn w:val="811"/>
    <w:uiPriority w:val="34"/>
    <w:qFormat/>
    <w:pPr>
      <w:contextualSpacing/>
      <w:ind w:left="720"/>
    </w:pPr>
  </w:style>
  <w:style w:type="paragraph" w:styleId="1026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27" w:customStyle="1">
    <w:name w:val="Font Style14"/>
    <w:basedOn w:val="821"/>
    <w:uiPriority w:val="99"/>
    <w:rPr>
      <w:rFonts w:ascii="Arial" w:hAnsi="Arial" w:cs="Arial"/>
      <w:b/>
      <w:bCs/>
      <w:sz w:val="18"/>
      <w:szCs w:val="18"/>
    </w:rPr>
  </w:style>
  <w:style w:type="character" w:styleId="1028" w:customStyle="1">
    <w:name w:val="js-phone-number"/>
    <w:basedOn w:val="821"/>
  </w:style>
  <w:style w:type="paragraph" w:styleId="1029">
    <w:name w:val="Balloon Text"/>
    <w:basedOn w:val="811"/>
    <w:link w:val="103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30" w:customStyle="1">
    <w:name w:val="Текст выноски Знак"/>
    <w:basedOn w:val="821"/>
    <w:link w:val="1029"/>
    <w:uiPriority w:val="99"/>
    <w:semiHidden/>
    <w:rPr>
      <w:rFonts w:ascii="Tahoma" w:hAnsi="Tahoma" w:cs="Tahoma"/>
      <w:sz w:val="16"/>
      <w:szCs w:val="16"/>
    </w:rPr>
  </w:style>
  <w:style w:type="numbering" w:styleId="1031" w:customStyle="1">
    <w:name w:val="Нет списка1"/>
    <w:next w:val="823"/>
    <w:uiPriority w:val="99"/>
    <w:semiHidden/>
    <w:unhideWhenUsed/>
  </w:style>
  <w:style w:type="numbering" w:styleId="1032" w:customStyle="1">
    <w:name w:val="Нет списка2"/>
    <w:next w:val="823"/>
    <w:uiPriority w:val="99"/>
    <w:semiHidden/>
    <w:unhideWhenUsed/>
  </w:style>
  <w:style w:type="numbering" w:styleId="1033" w:customStyle="1">
    <w:name w:val="Нет списка11"/>
    <w:next w:val="823"/>
    <w:uiPriority w:val="99"/>
    <w:semiHidden/>
    <w:unhideWhenUsed/>
  </w:style>
  <w:style w:type="character" w:styleId="1034" w:customStyle="1">
    <w:name w:val="property_name"/>
    <w:basedOn w:val="821"/>
  </w:style>
  <w:style w:type="character" w:styleId="1035" w:customStyle="1">
    <w:name w:val="n-product-spec__name-inner"/>
    <w:basedOn w:val="821"/>
  </w:style>
  <w:style w:type="character" w:styleId="1036">
    <w:name w:val="Strong"/>
    <w:basedOn w:val="821"/>
    <w:uiPriority w:val="22"/>
    <w:qFormat/>
    <w:rPr>
      <w:b/>
      <w:bCs/>
    </w:rPr>
  </w:style>
  <w:style w:type="character" w:styleId="1037" w:customStyle="1">
    <w:name w:val="Основной текст (2)_"/>
    <w:basedOn w:val="82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38" w:customStyle="1">
    <w:name w:val="Основной текст (2)"/>
    <w:basedOn w:val="103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39" w:customStyle="1">
    <w:name w:val="Основной текст (2) + Полужирный"/>
    <w:basedOn w:val="1037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40" w:customStyle="1">
    <w:name w:val="Основной текст (2) + Arial Narrow;9;5 pt"/>
    <w:basedOn w:val="103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41" w:customStyle="1">
    <w:name w:val="Основной текст (2) + Arial Narrow;15 pt"/>
    <w:basedOn w:val="103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42">
    <w:name w:val="endnote text"/>
    <w:basedOn w:val="811"/>
    <w:link w:val="104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43" w:customStyle="1">
    <w:name w:val="Текст концевой сноски Знак"/>
    <w:basedOn w:val="821"/>
    <w:link w:val="1042"/>
    <w:uiPriority w:val="99"/>
    <w:semiHidden/>
    <w:rPr>
      <w:sz w:val="20"/>
      <w:szCs w:val="20"/>
    </w:rPr>
  </w:style>
  <w:style w:type="character" w:styleId="1044">
    <w:name w:val="endnote reference"/>
    <w:basedOn w:val="821"/>
    <w:uiPriority w:val="99"/>
    <w:semiHidden/>
    <w:unhideWhenUsed/>
    <w:rPr>
      <w:vertAlign w:val="superscript"/>
    </w:rPr>
  </w:style>
  <w:style w:type="paragraph" w:styleId="1045">
    <w:name w:val="Body Text Indent 2"/>
    <w:basedOn w:val="811"/>
    <w:link w:val="1046"/>
    <w:uiPriority w:val="99"/>
    <w:semiHidden/>
    <w:unhideWhenUsed/>
    <w:pPr>
      <w:ind w:left="283"/>
      <w:spacing w:after="120" w:line="480" w:lineRule="auto"/>
    </w:pPr>
  </w:style>
  <w:style w:type="character" w:styleId="1046" w:customStyle="1">
    <w:name w:val="Основной текст с отступом 2 Знак"/>
    <w:basedOn w:val="821"/>
    <w:link w:val="1045"/>
    <w:uiPriority w:val="99"/>
    <w:semiHidden/>
  </w:style>
  <w:style w:type="paragraph" w:styleId="1047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48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49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0F9C3-8925-4250-9836-C24F6ED6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194</cp:revision>
  <dcterms:created xsi:type="dcterms:W3CDTF">2023-08-25T12:30:00Z</dcterms:created>
  <dcterms:modified xsi:type="dcterms:W3CDTF">2025-05-30T04:29:41Z</dcterms:modified>
</cp:coreProperties>
</file>